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1E" w:rsidRDefault="001E071E" w:rsidP="001E071E">
      <w:pPr>
        <w:rPr>
          <w:rFonts w:cs="Arial"/>
          <w:b/>
          <w:bCs/>
          <w:sz w:val="24"/>
          <w:szCs w:val="24"/>
          <w:u w:val="single"/>
        </w:rPr>
      </w:pPr>
    </w:p>
    <w:p w:rsidR="001E071E" w:rsidRDefault="001E071E" w:rsidP="001E071E">
      <w:pPr>
        <w:rPr>
          <w:rFonts w:cs="Arial"/>
          <w:b/>
          <w:bCs/>
          <w:sz w:val="24"/>
          <w:szCs w:val="24"/>
          <w:u w:val="single"/>
        </w:rPr>
      </w:pPr>
    </w:p>
    <w:p w:rsidR="001E071E" w:rsidRDefault="001E071E" w:rsidP="001E071E">
      <w:pPr>
        <w:rPr>
          <w:rFonts w:cs="Arial"/>
          <w:b/>
          <w:bCs/>
          <w:sz w:val="24"/>
          <w:szCs w:val="24"/>
          <w:u w:val="single"/>
        </w:rPr>
      </w:pPr>
    </w:p>
    <w:p w:rsidR="006A163E" w:rsidRDefault="006A163E" w:rsidP="001E071E">
      <w:pPr>
        <w:jc w:val="center"/>
        <w:rPr>
          <w:rFonts w:cs="Arial"/>
          <w:b/>
          <w:bCs/>
          <w:sz w:val="24"/>
          <w:szCs w:val="24"/>
          <w:u w:val="single"/>
        </w:rPr>
      </w:pPr>
      <w:r w:rsidRPr="001E071E">
        <w:rPr>
          <w:rFonts w:cs="Arial"/>
          <w:b/>
          <w:bCs/>
          <w:sz w:val="24"/>
          <w:szCs w:val="24"/>
          <w:u w:val="single"/>
        </w:rPr>
        <w:t>Organizace školního roku</w:t>
      </w:r>
    </w:p>
    <w:p w:rsidR="001E071E" w:rsidRDefault="001E071E" w:rsidP="001E071E">
      <w:pPr>
        <w:tabs>
          <w:tab w:val="left" w:pos="720"/>
        </w:tabs>
        <w:jc w:val="center"/>
        <w:rPr>
          <w:rFonts w:cs="Arial"/>
          <w:b/>
          <w:bCs/>
          <w:color w:val="548DD4" w:themeColor="text2" w:themeTint="99"/>
          <w:sz w:val="24"/>
          <w:szCs w:val="24"/>
          <w:u w:val="single"/>
        </w:rPr>
      </w:pPr>
      <w:r w:rsidRPr="001E071E">
        <w:rPr>
          <w:rFonts w:cs="Arial"/>
          <w:b/>
          <w:bCs/>
          <w:color w:val="548DD4" w:themeColor="text2" w:themeTint="99"/>
          <w:sz w:val="24"/>
          <w:szCs w:val="24"/>
          <w:u w:val="single"/>
          <w:lang w:val="mn-MN"/>
        </w:rPr>
        <w:t>Хичээлийн жилийн зохион байгуулалт</w:t>
      </w:r>
    </w:p>
    <w:p w:rsidR="001E071E" w:rsidRDefault="001E071E" w:rsidP="001E071E">
      <w:pPr>
        <w:tabs>
          <w:tab w:val="left" w:pos="720"/>
        </w:tabs>
        <w:rPr>
          <w:rFonts w:cs="Arial"/>
          <w:b/>
          <w:bCs/>
          <w:color w:val="548DD4" w:themeColor="text2" w:themeTint="99"/>
          <w:sz w:val="24"/>
          <w:szCs w:val="24"/>
          <w:u w:val="single"/>
        </w:rPr>
      </w:pPr>
    </w:p>
    <w:p w:rsidR="001E071E" w:rsidRPr="001E071E" w:rsidRDefault="001E071E" w:rsidP="001E071E">
      <w:pPr>
        <w:tabs>
          <w:tab w:val="left" w:pos="720"/>
        </w:tabs>
        <w:rPr>
          <w:rFonts w:cs="Arial"/>
          <w:b/>
          <w:bCs/>
          <w:color w:val="548DD4" w:themeColor="text2" w:themeTint="99"/>
          <w:sz w:val="24"/>
          <w:szCs w:val="24"/>
          <w:u w:val="single"/>
        </w:rPr>
      </w:pPr>
    </w:p>
    <w:p w:rsidR="001E071E" w:rsidRPr="001E071E" w:rsidRDefault="001E071E" w:rsidP="001E071E">
      <w:pPr>
        <w:rPr>
          <w:rFonts w:cs="Arial"/>
          <w:b/>
          <w:bCs/>
          <w:sz w:val="24"/>
          <w:szCs w:val="24"/>
          <w:u w:val="single"/>
        </w:rPr>
      </w:pPr>
    </w:p>
    <w:p w:rsidR="006A163E" w:rsidRPr="001E071E" w:rsidRDefault="006A163E" w:rsidP="001E071E">
      <w:pPr>
        <w:pStyle w:val="Odstavecseseznamem"/>
        <w:numPr>
          <w:ilvl w:val="0"/>
          <w:numId w:val="6"/>
        </w:numPr>
        <w:jc w:val="both"/>
        <w:rPr>
          <w:rFonts w:cs="Arial"/>
          <w:bCs/>
          <w:sz w:val="24"/>
          <w:szCs w:val="24"/>
        </w:rPr>
      </w:pPr>
      <w:r w:rsidRPr="001E071E">
        <w:rPr>
          <w:rFonts w:cs="Arial"/>
          <w:bCs/>
          <w:sz w:val="24"/>
          <w:szCs w:val="24"/>
        </w:rPr>
        <w:t>Vyučování začíná zpravidla v 8 : 00 a končí na prvním stupni nejpozději kolem půl jedné, na druhém stupni mají žáci již odpolední vyučování. Žáci prvního stupně mají většinou možnost navštěvovat družinu až do odpoledních hodin.</w:t>
      </w:r>
    </w:p>
    <w:p w:rsidR="001E071E" w:rsidRPr="001E071E" w:rsidRDefault="001E071E" w:rsidP="001E071E">
      <w:pPr>
        <w:pStyle w:val="Odstavecseseznamem"/>
        <w:tabs>
          <w:tab w:val="left" w:pos="720"/>
        </w:tabs>
        <w:rPr>
          <w:rFonts w:cs="Arial"/>
          <w:bCs/>
          <w:color w:val="548DD4" w:themeColor="text2" w:themeTint="99"/>
          <w:sz w:val="24"/>
          <w:szCs w:val="24"/>
        </w:rPr>
      </w:pPr>
      <w:r w:rsidRPr="001E071E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Хичээл нь голдуу 8.00 цагт эхэлж, бага ангийнхан 12.30-аас хэтрэхгүй, ахлах ангийнхан үдээс хойш хүртэл хичээллэнэ.  Бага ангийн сурагчид нь хичээлийн дараа өдөр өнжүүлэх </w:t>
      </w:r>
      <w:r w:rsidRPr="001E071E">
        <w:rPr>
          <w:rFonts w:cs="Arial"/>
          <w:bCs/>
          <w:color w:val="548DD4" w:themeColor="text2" w:themeTint="99"/>
          <w:sz w:val="24"/>
          <w:szCs w:val="24"/>
          <w:lang w:val="en-US"/>
        </w:rPr>
        <w:t>(</w:t>
      </w:r>
      <w:r w:rsidRPr="001E071E">
        <w:rPr>
          <w:rFonts w:cs="Arial"/>
          <w:bCs/>
          <w:color w:val="548DD4" w:themeColor="text2" w:themeTint="99"/>
          <w:sz w:val="24"/>
          <w:szCs w:val="24"/>
        </w:rPr>
        <w:t>družin</w:t>
      </w:r>
      <w:r w:rsidRPr="001E071E">
        <w:rPr>
          <w:rFonts w:cs="Arial"/>
          <w:bCs/>
          <w:color w:val="548DD4" w:themeColor="text2" w:themeTint="99"/>
          <w:sz w:val="24"/>
          <w:szCs w:val="24"/>
          <w:lang w:val="en-US"/>
        </w:rPr>
        <w:t>a)</w:t>
      </w:r>
      <w:r w:rsidRPr="001E071E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-д үдээс хойшхи цагууд хүртэл байх боломжтой. </w:t>
      </w:r>
    </w:p>
    <w:p w:rsidR="001E071E" w:rsidRPr="001E071E" w:rsidRDefault="001E071E" w:rsidP="001E071E">
      <w:pPr>
        <w:ind w:left="360"/>
        <w:jc w:val="both"/>
        <w:rPr>
          <w:rFonts w:cs="Arial"/>
          <w:bCs/>
          <w:sz w:val="24"/>
          <w:szCs w:val="24"/>
        </w:rPr>
      </w:pPr>
    </w:p>
    <w:p w:rsidR="006A163E" w:rsidRDefault="006A163E" w:rsidP="001E071E">
      <w:pPr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1E071E">
        <w:rPr>
          <w:rFonts w:cs="Arial"/>
          <w:bCs/>
          <w:sz w:val="24"/>
          <w:szCs w:val="24"/>
        </w:rPr>
        <w:t>Školní rok pro všechny typy škol začíná 1. září běžného roku a končí 31. srpna následujícího roku; člení se na období školního vyučování a období školních prázdnin.</w:t>
      </w:r>
      <w:r w:rsidRPr="001E071E">
        <w:rPr>
          <w:rFonts w:cs="Arial"/>
          <w:sz w:val="24"/>
          <w:szCs w:val="24"/>
        </w:rPr>
        <w:t xml:space="preserve"> </w:t>
      </w:r>
    </w:p>
    <w:p w:rsidR="001E071E" w:rsidRDefault="001E071E" w:rsidP="001E071E">
      <w:pPr>
        <w:ind w:left="720"/>
        <w:jc w:val="both"/>
        <w:rPr>
          <w:rFonts w:cs="Arial"/>
          <w:bCs/>
          <w:color w:val="548DD4" w:themeColor="text2" w:themeTint="99"/>
          <w:sz w:val="24"/>
          <w:szCs w:val="24"/>
        </w:rPr>
      </w:pPr>
      <w:r w:rsidRPr="007025B6">
        <w:rPr>
          <w:rFonts w:cs="Arial"/>
          <w:bCs/>
          <w:color w:val="548DD4" w:themeColor="text2" w:themeTint="99"/>
          <w:sz w:val="24"/>
          <w:szCs w:val="24"/>
          <w:lang w:val="mn-MN"/>
        </w:rPr>
        <w:t>Бүх төрлийн сургуулийн хичээлийн жил нь тухайн жилийн 9 дүгээр сарын 1-нд эхэлж, дараа жилийн 8 дугаар сарын 31-нд дуусдаг. Хичээлийн жил нь сургалтын ба амралтын үеүүдэд хуваагдана</w:t>
      </w:r>
    </w:p>
    <w:p w:rsidR="001E071E" w:rsidRDefault="001E071E" w:rsidP="001E071E">
      <w:pPr>
        <w:ind w:left="720"/>
        <w:jc w:val="both"/>
        <w:rPr>
          <w:rFonts w:cs="Arial"/>
          <w:sz w:val="24"/>
          <w:szCs w:val="24"/>
        </w:rPr>
      </w:pPr>
    </w:p>
    <w:p w:rsidR="001E071E" w:rsidRPr="001E071E" w:rsidRDefault="001E071E" w:rsidP="001E071E">
      <w:pPr>
        <w:ind w:left="720"/>
        <w:jc w:val="both"/>
        <w:rPr>
          <w:rFonts w:cs="Arial"/>
          <w:sz w:val="24"/>
          <w:szCs w:val="24"/>
        </w:rPr>
      </w:pPr>
    </w:p>
    <w:p w:rsidR="006A163E" w:rsidRPr="001E071E" w:rsidRDefault="006A163E" w:rsidP="001E071E">
      <w:pPr>
        <w:ind w:left="360"/>
        <w:jc w:val="both"/>
        <w:rPr>
          <w:rFonts w:cs="Arial"/>
          <w:sz w:val="24"/>
          <w:szCs w:val="24"/>
        </w:rPr>
      </w:pPr>
    </w:p>
    <w:p w:rsidR="006A163E" w:rsidRDefault="006A163E" w:rsidP="001E071E">
      <w:pPr>
        <w:jc w:val="center"/>
        <w:rPr>
          <w:rFonts w:cs="Arial"/>
          <w:b/>
          <w:bCs/>
          <w:sz w:val="24"/>
          <w:szCs w:val="24"/>
        </w:rPr>
      </w:pPr>
      <w:r w:rsidRPr="001E071E">
        <w:rPr>
          <w:rFonts w:cs="Arial"/>
          <w:b/>
          <w:bCs/>
          <w:sz w:val="24"/>
          <w:szCs w:val="24"/>
        </w:rPr>
        <w:t>Období školního vyučování</w:t>
      </w:r>
    </w:p>
    <w:p w:rsidR="001E071E" w:rsidRPr="007025B6" w:rsidRDefault="001E071E" w:rsidP="001E071E">
      <w:pPr>
        <w:jc w:val="center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7025B6">
        <w:rPr>
          <w:rFonts w:cs="Arial"/>
          <w:b/>
          <w:bCs/>
          <w:color w:val="548DD4" w:themeColor="text2" w:themeTint="99"/>
          <w:sz w:val="24"/>
          <w:szCs w:val="24"/>
          <w:lang w:val="mn-MN"/>
        </w:rPr>
        <w:t>Сургуулийн сургалтын үе нь</w:t>
      </w:r>
    </w:p>
    <w:p w:rsidR="001E071E" w:rsidRPr="001E071E" w:rsidRDefault="001E071E" w:rsidP="001E071E">
      <w:pPr>
        <w:jc w:val="both"/>
        <w:rPr>
          <w:rFonts w:cs="Arial"/>
          <w:b/>
          <w:bCs/>
          <w:sz w:val="24"/>
          <w:szCs w:val="24"/>
        </w:rPr>
      </w:pPr>
    </w:p>
    <w:p w:rsidR="006A163E" w:rsidRPr="001E071E" w:rsidRDefault="006A163E" w:rsidP="001E071E">
      <w:pPr>
        <w:ind w:left="360"/>
        <w:jc w:val="both"/>
        <w:rPr>
          <w:rFonts w:cs="Arial"/>
          <w:bCs/>
          <w:sz w:val="24"/>
          <w:szCs w:val="24"/>
        </w:rPr>
      </w:pPr>
    </w:p>
    <w:p w:rsidR="006A163E" w:rsidRDefault="006A163E" w:rsidP="001E071E">
      <w:pPr>
        <w:numPr>
          <w:ilvl w:val="0"/>
          <w:numId w:val="3"/>
        </w:numPr>
        <w:jc w:val="both"/>
        <w:rPr>
          <w:rFonts w:cs="Arial"/>
          <w:bCs/>
          <w:sz w:val="24"/>
          <w:szCs w:val="24"/>
        </w:rPr>
      </w:pPr>
      <w:r w:rsidRPr="001E071E">
        <w:rPr>
          <w:rFonts w:cs="Arial"/>
          <w:bCs/>
          <w:sz w:val="24"/>
          <w:szCs w:val="24"/>
        </w:rPr>
        <w:t xml:space="preserve">Začíná 1. září a končí 30. června následujícího kalendářního roku; </w:t>
      </w:r>
    </w:p>
    <w:p w:rsidR="001E071E" w:rsidRPr="007025B6" w:rsidRDefault="001E071E" w:rsidP="001E071E">
      <w:pPr>
        <w:ind w:left="720"/>
        <w:jc w:val="both"/>
        <w:rPr>
          <w:rFonts w:cs="Arial"/>
          <w:color w:val="548DD4" w:themeColor="text2" w:themeTint="99"/>
          <w:sz w:val="24"/>
          <w:szCs w:val="24"/>
        </w:rPr>
      </w:pPr>
      <w:r w:rsidRPr="007025B6">
        <w:rPr>
          <w:rFonts w:cs="Arial"/>
          <w:bCs/>
          <w:color w:val="548DD4" w:themeColor="text2" w:themeTint="99"/>
          <w:sz w:val="24"/>
          <w:szCs w:val="24"/>
          <w:lang w:val="mn-MN"/>
        </w:rPr>
        <w:t>9 дүгээр сарын 1-нд эхэлж дараа жилийн 6 дугаар сарын 30-нд дуусна.</w:t>
      </w:r>
    </w:p>
    <w:p w:rsidR="006A163E" w:rsidRPr="001E071E" w:rsidRDefault="006A163E" w:rsidP="001E071E">
      <w:pPr>
        <w:jc w:val="both"/>
        <w:rPr>
          <w:rFonts w:cs="Arial"/>
          <w:bCs/>
          <w:sz w:val="24"/>
          <w:szCs w:val="24"/>
        </w:rPr>
      </w:pPr>
    </w:p>
    <w:p w:rsidR="006A163E" w:rsidRPr="001E071E" w:rsidRDefault="006A163E" w:rsidP="001E071E">
      <w:pPr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1E071E">
        <w:rPr>
          <w:rFonts w:cs="Arial"/>
          <w:bCs/>
          <w:sz w:val="24"/>
          <w:szCs w:val="24"/>
        </w:rPr>
        <w:t xml:space="preserve">Člení se na první a druhé pololetí. První pololetí začíná 1. září a končí 31. ledna následujícího kalendářního roku. Druhé pololetí začíná 1. února a končí 30. června. </w:t>
      </w:r>
    </w:p>
    <w:p w:rsidR="001E071E" w:rsidRPr="007025B6" w:rsidRDefault="001E071E" w:rsidP="001E071E">
      <w:pPr>
        <w:ind w:left="720"/>
        <w:jc w:val="both"/>
        <w:rPr>
          <w:rFonts w:cs="Arial"/>
          <w:color w:val="548DD4" w:themeColor="text2" w:themeTint="99"/>
          <w:sz w:val="24"/>
          <w:szCs w:val="24"/>
        </w:rPr>
      </w:pPr>
      <w:r w:rsidRPr="007025B6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Сургалтын үе нь 1 ба 2 дугаар хагас жилд хуваагдана. 1 дүгээр хагас жил нь 9 дүгээр сарын 1-нээс дараа жилийн 1 дүгээр сарын 31 хүртэл, 2 дугаар хагас жил нь 2 дугаар сарын 1-нээс 6 дугаар сарын 30 хүртэл үргэлжилнэ. </w:t>
      </w:r>
    </w:p>
    <w:p w:rsidR="006A163E" w:rsidRPr="001E071E" w:rsidRDefault="006A163E" w:rsidP="001E071E">
      <w:pPr>
        <w:jc w:val="both"/>
        <w:rPr>
          <w:rFonts w:cs="Arial"/>
          <w:bCs/>
          <w:sz w:val="24"/>
          <w:szCs w:val="24"/>
        </w:rPr>
      </w:pPr>
    </w:p>
    <w:p w:rsidR="006A163E" w:rsidRDefault="006A163E" w:rsidP="001E071E">
      <w:pPr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1E071E">
        <w:rPr>
          <w:rFonts w:cs="Arial"/>
          <w:bCs/>
          <w:sz w:val="24"/>
          <w:szCs w:val="24"/>
        </w:rPr>
        <w:t xml:space="preserve">Za obě pololetí dostávají žáci </w:t>
      </w:r>
      <w:r w:rsidRPr="001E071E">
        <w:rPr>
          <w:rFonts w:cs="Arial"/>
          <w:b/>
          <w:bCs/>
          <w:sz w:val="24"/>
          <w:szCs w:val="24"/>
        </w:rPr>
        <w:t>vysvědčení</w:t>
      </w:r>
      <w:r w:rsidRPr="001E071E">
        <w:rPr>
          <w:rFonts w:cs="Arial"/>
          <w:bCs/>
          <w:sz w:val="24"/>
          <w:szCs w:val="24"/>
        </w:rPr>
        <w:t xml:space="preserve"> o svém </w:t>
      </w:r>
      <w:proofErr w:type="gramStart"/>
      <w:r w:rsidRPr="001E071E">
        <w:rPr>
          <w:rFonts w:cs="Arial"/>
          <w:bCs/>
          <w:sz w:val="24"/>
          <w:szCs w:val="24"/>
        </w:rPr>
        <w:t>prospěchu..</w:t>
      </w:r>
      <w:proofErr w:type="gramEnd"/>
      <w:r w:rsidRPr="001E071E">
        <w:rPr>
          <w:rFonts w:cs="Arial"/>
          <w:sz w:val="24"/>
          <w:szCs w:val="24"/>
        </w:rPr>
        <w:t xml:space="preserve"> </w:t>
      </w:r>
    </w:p>
    <w:p w:rsidR="001E071E" w:rsidRPr="007025B6" w:rsidRDefault="001E071E" w:rsidP="001E071E">
      <w:pPr>
        <w:ind w:left="720"/>
        <w:jc w:val="both"/>
        <w:rPr>
          <w:rFonts w:cs="Arial"/>
          <w:color w:val="548DD4" w:themeColor="text2" w:themeTint="99"/>
          <w:sz w:val="24"/>
          <w:szCs w:val="24"/>
        </w:rPr>
      </w:pPr>
      <w:r w:rsidRPr="007025B6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Сургалтын хагас жил бүрт сурагчид гэрчилгээ </w:t>
      </w:r>
      <w:r w:rsidRPr="007025B6">
        <w:rPr>
          <w:rFonts w:cs="Arial"/>
          <w:bCs/>
          <w:color w:val="548DD4" w:themeColor="text2" w:themeTint="99"/>
          <w:sz w:val="24"/>
          <w:szCs w:val="24"/>
          <w:lang w:val="en-US"/>
        </w:rPr>
        <w:t>(</w:t>
      </w:r>
      <w:r w:rsidRPr="007025B6">
        <w:rPr>
          <w:rFonts w:cs="Arial"/>
          <w:bCs/>
          <w:color w:val="548DD4" w:themeColor="text2" w:themeTint="99"/>
          <w:sz w:val="24"/>
          <w:szCs w:val="24"/>
        </w:rPr>
        <w:t>vysvědčení</w:t>
      </w:r>
      <w:r w:rsidRPr="007025B6">
        <w:rPr>
          <w:rFonts w:cs="Arial"/>
          <w:bCs/>
          <w:color w:val="548DD4" w:themeColor="text2" w:themeTint="99"/>
          <w:sz w:val="24"/>
          <w:szCs w:val="24"/>
          <w:lang w:val="en-US"/>
        </w:rPr>
        <w:t xml:space="preserve">) </w:t>
      </w:r>
      <w:r w:rsidRPr="007025B6">
        <w:rPr>
          <w:rFonts w:cs="Arial"/>
          <w:bCs/>
          <w:color w:val="548DD4" w:themeColor="text2" w:themeTint="99"/>
          <w:sz w:val="24"/>
          <w:szCs w:val="24"/>
          <w:lang w:val="mn-MN"/>
        </w:rPr>
        <w:t>олгогдоно.</w:t>
      </w:r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</w:p>
    <w:p w:rsidR="001E071E" w:rsidRDefault="001E071E" w:rsidP="001E071E">
      <w:pPr>
        <w:ind w:left="720"/>
        <w:jc w:val="both"/>
        <w:rPr>
          <w:rFonts w:cs="Arial"/>
          <w:sz w:val="24"/>
          <w:szCs w:val="24"/>
        </w:rPr>
      </w:pPr>
    </w:p>
    <w:p w:rsidR="001E071E" w:rsidRDefault="001E071E" w:rsidP="001E071E">
      <w:pPr>
        <w:ind w:left="720"/>
        <w:jc w:val="both"/>
        <w:rPr>
          <w:rFonts w:cs="Arial"/>
          <w:sz w:val="24"/>
          <w:szCs w:val="24"/>
        </w:rPr>
      </w:pPr>
    </w:p>
    <w:p w:rsidR="001E071E" w:rsidRDefault="001E071E" w:rsidP="001E071E">
      <w:pPr>
        <w:ind w:left="720"/>
        <w:jc w:val="both"/>
        <w:rPr>
          <w:rFonts w:cs="Arial"/>
          <w:sz w:val="24"/>
          <w:szCs w:val="24"/>
        </w:rPr>
      </w:pPr>
    </w:p>
    <w:p w:rsidR="001E071E" w:rsidRDefault="001E071E" w:rsidP="001E071E">
      <w:pPr>
        <w:ind w:left="720"/>
        <w:jc w:val="both"/>
        <w:rPr>
          <w:rFonts w:cs="Arial"/>
          <w:sz w:val="24"/>
          <w:szCs w:val="24"/>
        </w:rPr>
      </w:pPr>
    </w:p>
    <w:p w:rsidR="001E071E" w:rsidRDefault="001E071E" w:rsidP="001E071E">
      <w:pPr>
        <w:ind w:left="720"/>
        <w:jc w:val="both"/>
        <w:rPr>
          <w:rFonts w:cs="Arial"/>
          <w:sz w:val="24"/>
          <w:szCs w:val="24"/>
        </w:rPr>
      </w:pPr>
    </w:p>
    <w:p w:rsidR="001E071E" w:rsidRDefault="001E071E" w:rsidP="001E071E">
      <w:pPr>
        <w:ind w:left="720"/>
        <w:jc w:val="both"/>
        <w:rPr>
          <w:rFonts w:cs="Arial"/>
          <w:sz w:val="24"/>
          <w:szCs w:val="24"/>
        </w:rPr>
      </w:pPr>
    </w:p>
    <w:p w:rsidR="001E071E" w:rsidRPr="001E071E" w:rsidRDefault="001E071E" w:rsidP="001E071E">
      <w:pPr>
        <w:ind w:left="720"/>
        <w:jc w:val="both"/>
        <w:rPr>
          <w:rFonts w:cs="Arial"/>
          <w:sz w:val="24"/>
          <w:szCs w:val="24"/>
        </w:rPr>
      </w:pPr>
    </w:p>
    <w:p w:rsidR="006A163E" w:rsidRPr="001E071E" w:rsidRDefault="006A163E" w:rsidP="001E071E">
      <w:pPr>
        <w:jc w:val="both"/>
        <w:rPr>
          <w:rFonts w:cs="Arial"/>
          <w:sz w:val="24"/>
          <w:szCs w:val="24"/>
        </w:rPr>
      </w:pPr>
    </w:p>
    <w:p w:rsidR="006A163E" w:rsidRDefault="006A163E" w:rsidP="001E071E">
      <w:pPr>
        <w:jc w:val="center"/>
        <w:rPr>
          <w:rFonts w:cs="Arial"/>
          <w:b/>
          <w:bCs/>
          <w:sz w:val="24"/>
          <w:szCs w:val="24"/>
        </w:rPr>
      </w:pPr>
      <w:r w:rsidRPr="001E071E">
        <w:rPr>
          <w:rFonts w:cs="Arial"/>
          <w:b/>
          <w:bCs/>
          <w:sz w:val="24"/>
          <w:szCs w:val="24"/>
        </w:rPr>
        <w:t>Prázdniny – období volna:</w:t>
      </w:r>
    </w:p>
    <w:p w:rsidR="001E071E" w:rsidRPr="007025B6" w:rsidRDefault="001E071E" w:rsidP="001E071E">
      <w:pPr>
        <w:jc w:val="center"/>
        <w:rPr>
          <w:rFonts w:cs="Arial"/>
          <w:b/>
          <w:bCs/>
          <w:color w:val="548DD4" w:themeColor="text2" w:themeTint="99"/>
          <w:sz w:val="24"/>
          <w:szCs w:val="24"/>
          <w:lang w:val="mn-MN"/>
        </w:rPr>
      </w:pPr>
      <w:r w:rsidRPr="007025B6">
        <w:rPr>
          <w:rFonts w:cs="Arial"/>
          <w:b/>
          <w:bCs/>
          <w:color w:val="548DD4" w:themeColor="text2" w:themeTint="99"/>
          <w:sz w:val="24"/>
          <w:szCs w:val="24"/>
          <w:lang w:val="mn-MN"/>
        </w:rPr>
        <w:t xml:space="preserve">Сурагчдын амралт </w:t>
      </w:r>
      <w:r w:rsidRPr="007025B6">
        <w:rPr>
          <w:rFonts w:cs="Arial"/>
          <w:b/>
          <w:bCs/>
          <w:color w:val="548DD4" w:themeColor="text2" w:themeTint="99"/>
          <w:sz w:val="24"/>
          <w:szCs w:val="24"/>
        </w:rPr>
        <w:t xml:space="preserve">– </w:t>
      </w:r>
      <w:r w:rsidRPr="007025B6">
        <w:rPr>
          <w:rFonts w:cs="Arial"/>
          <w:b/>
          <w:bCs/>
          <w:color w:val="548DD4" w:themeColor="text2" w:themeTint="99"/>
          <w:sz w:val="24"/>
          <w:szCs w:val="24"/>
          <w:lang w:val="mn-MN"/>
        </w:rPr>
        <w:t>чөлөөтэй үе.</w:t>
      </w:r>
    </w:p>
    <w:p w:rsidR="001E071E" w:rsidRPr="001E071E" w:rsidRDefault="001E071E" w:rsidP="001E071E">
      <w:pPr>
        <w:jc w:val="both"/>
        <w:rPr>
          <w:rFonts w:cs="Arial"/>
          <w:b/>
          <w:bCs/>
          <w:sz w:val="24"/>
          <w:szCs w:val="24"/>
        </w:rPr>
      </w:pPr>
    </w:p>
    <w:p w:rsidR="006A163E" w:rsidRPr="001E071E" w:rsidRDefault="006A163E" w:rsidP="001E071E">
      <w:pPr>
        <w:jc w:val="both"/>
        <w:rPr>
          <w:rFonts w:cs="Arial"/>
          <w:b/>
          <w:bCs/>
          <w:sz w:val="24"/>
          <w:szCs w:val="24"/>
        </w:rPr>
      </w:pPr>
    </w:p>
    <w:p w:rsidR="006A163E" w:rsidRDefault="006A163E" w:rsidP="001E071E">
      <w:pPr>
        <w:numPr>
          <w:ilvl w:val="0"/>
          <w:numId w:val="4"/>
        </w:numPr>
        <w:jc w:val="both"/>
        <w:rPr>
          <w:rFonts w:cs="Arial"/>
          <w:bCs/>
          <w:sz w:val="24"/>
          <w:szCs w:val="24"/>
        </w:rPr>
      </w:pPr>
      <w:r w:rsidRPr="001E071E">
        <w:rPr>
          <w:rFonts w:cs="Arial"/>
          <w:b/>
          <w:bCs/>
          <w:sz w:val="24"/>
          <w:szCs w:val="24"/>
        </w:rPr>
        <w:t>Podzimní prázdniny</w:t>
      </w:r>
      <w:r w:rsidRPr="001E071E">
        <w:rPr>
          <w:rFonts w:cs="Arial"/>
          <w:bCs/>
          <w:sz w:val="24"/>
          <w:szCs w:val="24"/>
        </w:rPr>
        <w:t xml:space="preserve"> - trvají dva dny a přičleňují se ke státnímu svátku 28. října. </w:t>
      </w:r>
    </w:p>
    <w:p w:rsidR="001E071E" w:rsidRPr="007025B6" w:rsidRDefault="001E071E" w:rsidP="001E071E">
      <w:pPr>
        <w:ind w:left="720"/>
        <w:jc w:val="both"/>
        <w:rPr>
          <w:rFonts w:cs="Arial"/>
          <w:bCs/>
          <w:color w:val="548DD4" w:themeColor="text2" w:themeTint="99"/>
          <w:sz w:val="24"/>
          <w:szCs w:val="24"/>
        </w:rPr>
      </w:pPr>
      <w:r w:rsidRPr="007025B6">
        <w:rPr>
          <w:rFonts w:cs="Arial"/>
          <w:bCs/>
          <w:color w:val="548DD4" w:themeColor="text2" w:themeTint="99"/>
          <w:sz w:val="24"/>
          <w:szCs w:val="24"/>
          <w:lang w:val="mn-MN"/>
        </w:rPr>
        <w:t>Намрын амралт</w:t>
      </w:r>
      <w:r w:rsidRPr="007025B6">
        <w:rPr>
          <w:rFonts w:cs="Arial"/>
          <w:bCs/>
          <w:color w:val="548DD4" w:themeColor="text2" w:themeTint="99"/>
          <w:sz w:val="24"/>
          <w:szCs w:val="24"/>
        </w:rPr>
        <w:t xml:space="preserve"> – </w:t>
      </w:r>
      <w:r w:rsidRPr="007025B6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10 дугаар сарын 28-ны Үндэсний баярын өдрүүдэд нэмж 2 хоног амрана. </w:t>
      </w:r>
    </w:p>
    <w:p w:rsidR="006A163E" w:rsidRPr="001E071E" w:rsidRDefault="006A163E" w:rsidP="001E071E">
      <w:pPr>
        <w:jc w:val="both"/>
        <w:rPr>
          <w:rFonts w:cs="Arial"/>
          <w:bCs/>
          <w:sz w:val="24"/>
          <w:szCs w:val="24"/>
        </w:rPr>
      </w:pPr>
    </w:p>
    <w:p w:rsidR="006A163E" w:rsidRDefault="006A163E" w:rsidP="001E071E">
      <w:pPr>
        <w:numPr>
          <w:ilvl w:val="0"/>
          <w:numId w:val="4"/>
        </w:numPr>
        <w:jc w:val="both"/>
        <w:rPr>
          <w:rFonts w:cs="Arial"/>
          <w:bCs/>
          <w:sz w:val="24"/>
          <w:szCs w:val="24"/>
        </w:rPr>
      </w:pPr>
      <w:r w:rsidRPr="001E071E">
        <w:rPr>
          <w:rFonts w:cs="Arial"/>
          <w:b/>
          <w:bCs/>
          <w:sz w:val="24"/>
          <w:szCs w:val="24"/>
        </w:rPr>
        <w:t>Vánoční prázdniny</w:t>
      </w:r>
      <w:r w:rsidRPr="001E071E">
        <w:rPr>
          <w:rFonts w:cs="Arial"/>
          <w:bCs/>
          <w:sz w:val="24"/>
          <w:szCs w:val="24"/>
        </w:rPr>
        <w:t xml:space="preserve"> - od 23. prosince do 2. ledna následujícího kalendářního roku. </w:t>
      </w:r>
    </w:p>
    <w:p w:rsidR="006A163E" w:rsidRDefault="001E071E" w:rsidP="001E071E">
      <w:pPr>
        <w:ind w:left="720"/>
        <w:jc w:val="both"/>
        <w:rPr>
          <w:rFonts w:cs="Arial"/>
          <w:bCs/>
          <w:color w:val="548DD4" w:themeColor="text2" w:themeTint="99"/>
          <w:sz w:val="24"/>
          <w:szCs w:val="24"/>
        </w:rPr>
      </w:pPr>
      <w:r w:rsidRPr="007025B6">
        <w:rPr>
          <w:rFonts w:cs="Arial"/>
          <w:bCs/>
          <w:color w:val="548DD4" w:themeColor="text2" w:themeTint="99"/>
          <w:sz w:val="24"/>
          <w:szCs w:val="24"/>
          <w:lang w:val="mn-MN"/>
        </w:rPr>
        <w:t>Шинэ жилийн амралт</w:t>
      </w:r>
      <w:r w:rsidRPr="007025B6">
        <w:rPr>
          <w:rFonts w:cs="Arial"/>
          <w:bCs/>
          <w:color w:val="548DD4" w:themeColor="text2" w:themeTint="99"/>
          <w:sz w:val="24"/>
          <w:szCs w:val="24"/>
        </w:rPr>
        <w:t xml:space="preserve"> – </w:t>
      </w:r>
      <w:r w:rsidRPr="007025B6">
        <w:rPr>
          <w:rFonts w:cs="Arial"/>
          <w:bCs/>
          <w:color w:val="548DD4" w:themeColor="text2" w:themeTint="99"/>
          <w:sz w:val="24"/>
          <w:szCs w:val="24"/>
          <w:lang w:val="mn-MN"/>
        </w:rPr>
        <w:t>12 дугаар сарын 23-наас дараа оны 1 дүгээр сарын 2 хүртэл үргэлжилнэ.</w:t>
      </w:r>
      <w:r w:rsidRPr="007025B6">
        <w:rPr>
          <w:rFonts w:cs="Arial"/>
          <w:bCs/>
          <w:color w:val="548DD4" w:themeColor="text2" w:themeTint="99"/>
          <w:sz w:val="24"/>
          <w:szCs w:val="24"/>
        </w:rPr>
        <w:t xml:space="preserve"> </w:t>
      </w:r>
    </w:p>
    <w:p w:rsidR="001E071E" w:rsidRPr="001E071E" w:rsidRDefault="001E071E" w:rsidP="001E071E">
      <w:pPr>
        <w:ind w:left="720"/>
        <w:jc w:val="both"/>
        <w:rPr>
          <w:rFonts w:cs="Arial"/>
          <w:bCs/>
          <w:color w:val="548DD4" w:themeColor="text2" w:themeTint="99"/>
          <w:sz w:val="24"/>
          <w:szCs w:val="24"/>
        </w:rPr>
      </w:pPr>
    </w:p>
    <w:p w:rsidR="006A163E" w:rsidRDefault="006A163E" w:rsidP="001E071E">
      <w:pPr>
        <w:numPr>
          <w:ilvl w:val="0"/>
          <w:numId w:val="4"/>
        </w:numPr>
        <w:jc w:val="both"/>
        <w:rPr>
          <w:rFonts w:cs="Arial"/>
          <w:bCs/>
          <w:sz w:val="24"/>
          <w:szCs w:val="24"/>
        </w:rPr>
      </w:pPr>
      <w:r w:rsidRPr="001E071E">
        <w:rPr>
          <w:rFonts w:cs="Arial"/>
          <w:b/>
          <w:bCs/>
          <w:sz w:val="24"/>
          <w:szCs w:val="24"/>
        </w:rPr>
        <w:t>Pololetní prázdniny</w:t>
      </w:r>
      <w:r w:rsidRPr="001E071E">
        <w:rPr>
          <w:rFonts w:cs="Arial"/>
          <w:bCs/>
          <w:sz w:val="24"/>
          <w:szCs w:val="24"/>
        </w:rPr>
        <w:t xml:space="preserve"> - trvají jeden den a připadají na pátek v době od 29. 1. do 4. 2.</w:t>
      </w:r>
    </w:p>
    <w:p w:rsidR="001E071E" w:rsidRPr="007025B6" w:rsidRDefault="001E071E" w:rsidP="001E071E">
      <w:pPr>
        <w:ind w:left="720"/>
        <w:jc w:val="both"/>
        <w:rPr>
          <w:rFonts w:cs="Arial"/>
          <w:bCs/>
          <w:color w:val="548DD4" w:themeColor="text2" w:themeTint="99"/>
          <w:sz w:val="24"/>
          <w:szCs w:val="24"/>
        </w:rPr>
      </w:pPr>
      <w:r w:rsidRPr="007025B6">
        <w:rPr>
          <w:rFonts w:cs="Arial"/>
          <w:bCs/>
          <w:color w:val="548DD4" w:themeColor="text2" w:themeTint="99"/>
          <w:sz w:val="24"/>
          <w:szCs w:val="24"/>
          <w:lang w:val="mn-MN"/>
        </w:rPr>
        <w:t>Хагас жилийн амралт</w:t>
      </w:r>
      <w:r w:rsidRPr="007025B6">
        <w:rPr>
          <w:rFonts w:cs="Arial"/>
          <w:bCs/>
          <w:color w:val="548DD4" w:themeColor="text2" w:themeTint="99"/>
          <w:sz w:val="24"/>
          <w:szCs w:val="24"/>
        </w:rPr>
        <w:t xml:space="preserve"> – </w:t>
      </w:r>
      <w:r w:rsidRPr="007025B6">
        <w:rPr>
          <w:rFonts w:cs="Arial"/>
          <w:bCs/>
          <w:color w:val="548DD4" w:themeColor="text2" w:themeTint="99"/>
          <w:sz w:val="24"/>
          <w:szCs w:val="24"/>
          <w:lang w:val="mn-MN"/>
        </w:rPr>
        <w:t>1 хоног амрана. 1 дүгээр сарын 29-нээс 4 дүгээр сарын 2-ны хооронд аль нэг Баасан гаригт тохионо.</w:t>
      </w:r>
    </w:p>
    <w:p w:rsidR="006A163E" w:rsidRPr="001E071E" w:rsidRDefault="006A163E" w:rsidP="001E071E">
      <w:pPr>
        <w:jc w:val="both"/>
        <w:rPr>
          <w:rFonts w:cs="Arial"/>
          <w:bCs/>
          <w:sz w:val="24"/>
          <w:szCs w:val="24"/>
        </w:rPr>
      </w:pPr>
    </w:p>
    <w:p w:rsidR="006A163E" w:rsidRDefault="006A163E" w:rsidP="001E071E">
      <w:pPr>
        <w:numPr>
          <w:ilvl w:val="0"/>
          <w:numId w:val="4"/>
        </w:numPr>
        <w:jc w:val="both"/>
        <w:rPr>
          <w:rFonts w:cs="Arial"/>
          <w:bCs/>
          <w:sz w:val="24"/>
          <w:szCs w:val="24"/>
        </w:rPr>
      </w:pPr>
      <w:r w:rsidRPr="001E071E">
        <w:rPr>
          <w:rFonts w:cs="Arial"/>
          <w:b/>
          <w:bCs/>
          <w:sz w:val="24"/>
          <w:szCs w:val="24"/>
        </w:rPr>
        <w:t>Jarní prázdniny</w:t>
      </w:r>
      <w:r w:rsidRPr="001E071E">
        <w:rPr>
          <w:rFonts w:cs="Arial"/>
          <w:bCs/>
          <w:sz w:val="24"/>
          <w:szCs w:val="24"/>
        </w:rPr>
        <w:t xml:space="preserve"> - trvají jeden týden a jejich termín stanoví vyhláška podle sídla školy v rozmezí od prvního úplného týdne února do posledního úplného týdne </w:t>
      </w:r>
      <w:proofErr w:type="gramStart"/>
      <w:r w:rsidRPr="001E071E">
        <w:rPr>
          <w:rFonts w:cs="Arial"/>
          <w:bCs/>
          <w:sz w:val="24"/>
          <w:szCs w:val="24"/>
        </w:rPr>
        <w:t>března .</w:t>
      </w:r>
      <w:proofErr w:type="gramEnd"/>
    </w:p>
    <w:p w:rsidR="001E071E" w:rsidRPr="007025B6" w:rsidRDefault="001E071E" w:rsidP="001E071E">
      <w:pPr>
        <w:ind w:left="720"/>
        <w:jc w:val="both"/>
        <w:rPr>
          <w:rFonts w:cs="Arial"/>
          <w:bCs/>
          <w:color w:val="548DD4" w:themeColor="text2" w:themeTint="99"/>
          <w:sz w:val="24"/>
          <w:szCs w:val="24"/>
        </w:rPr>
      </w:pPr>
      <w:r w:rsidRPr="007025B6">
        <w:rPr>
          <w:rFonts w:cs="Arial"/>
          <w:bCs/>
          <w:color w:val="548DD4" w:themeColor="text2" w:themeTint="99"/>
          <w:sz w:val="24"/>
          <w:szCs w:val="24"/>
          <w:lang w:val="mn-MN"/>
        </w:rPr>
        <w:t>Хаврын амралт</w:t>
      </w:r>
      <w:r w:rsidRPr="007025B6">
        <w:rPr>
          <w:rFonts w:cs="Arial"/>
          <w:bCs/>
          <w:color w:val="548DD4" w:themeColor="text2" w:themeTint="99"/>
          <w:sz w:val="24"/>
          <w:szCs w:val="24"/>
        </w:rPr>
        <w:t xml:space="preserve"> – </w:t>
      </w:r>
      <w:r w:rsidRPr="007025B6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7 хоног амрана. Сургуулийн байгаа хот, дүүргээс хамааран 2 дугаар сарын сүүлийн 7 хоногоос 3 дугаар сарын сүүлийн долоо хоногийн хооронд тохионо. </w:t>
      </w:r>
    </w:p>
    <w:p w:rsidR="006A163E" w:rsidRPr="001E071E" w:rsidRDefault="006A163E" w:rsidP="001E071E">
      <w:pPr>
        <w:jc w:val="both"/>
        <w:rPr>
          <w:rFonts w:cs="Arial"/>
          <w:bCs/>
          <w:sz w:val="24"/>
          <w:szCs w:val="24"/>
        </w:rPr>
      </w:pPr>
    </w:p>
    <w:p w:rsidR="006A163E" w:rsidRDefault="006A163E" w:rsidP="001E071E">
      <w:pPr>
        <w:numPr>
          <w:ilvl w:val="0"/>
          <w:numId w:val="4"/>
        </w:numPr>
        <w:jc w:val="both"/>
        <w:rPr>
          <w:rFonts w:cs="Arial"/>
          <w:bCs/>
          <w:sz w:val="24"/>
          <w:szCs w:val="24"/>
        </w:rPr>
      </w:pPr>
      <w:r w:rsidRPr="001E071E">
        <w:rPr>
          <w:rFonts w:cs="Arial"/>
          <w:b/>
          <w:bCs/>
          <w:sz w:val="24"/>
          <w:szCs w:val="24"/>
        </w:rPr>
        <w:t>Velikonoční prázdniny</w:t>
      </w:r>
      <w:r w:rsidRPr="001E071E">
        <w:rPr>
          <w:rFonts w:cs="Arial"/>
          <w:bCs/>
          <w:sz w:val="24"/>
          <w:szCs w:val="24"/>
        </w:rPr>
        <w:t xml:space="preserve"> - připadají na čtvrtek a pátek předc</w:t>
      </w:r>
      <w:r w:rsidR="001E071E">
        <w:rPr>
          <w:rFonts w:cs="Arial"/>
          <w:bCs/>
          <w:sz w:val="24"/>
          <w:szCs w:val="24"/>
        </w:rPr>
        <w:t>házející Pondělí velikonočnímu.</w:t>
      </w:r>
    </w:p>
    <w:p w:rsidR="001E071E" w:rsidRPr="007025B6" w:rsidRDefault="001E071E" w:rsidP="001E071E">
      <w:pPr>
        <w:ind w:left="720"/>
        <w:jc w:val="both"/>
        <w:rPr>
          <w:rFonts w:cs="Arial"/>
          <w:bCs/>
          <w:color w:val="548DD4" w:themeColor="text2" w:themeTint="99"/>
          <w:sz w:val="24"/>
          <w:szCs w:val="24"/>
          <w:lang w:val="mn-MN"/>
        </w:rPr>
      </w:pPr>
      <w:r w:rsidRPr="007025B6">
        <w:rPr>
          <w:rFonts w:cs="Arial"/>
          <w:bCs/>
          <w:color w:val="548DD4" w:themeColor="text2" w:themeTint="99"/>
          <w:sz w:val="24"/>
          <w:szCs w:val="24"/>
          <w:lang w:val="mn-MN"/>
        </w:rPr>
        <w:t>Улаан өндөгний баярын амралт</w:t>
      </w:r>
      <w:r w:rsidRPr="007025B6">
        <w:rPr>
          <w:rFonts w:cs="Arial"/>
          <w:bCs/>
          <w:color w:val="548DD4" w:themeColor="text2" w:themeTint="99"/>
          <w:sz w:val="24"/>
          <w:szCs w:val="24"/>
        </w:rPr>
        <w:t xml:space="preserve"> – </w:t>
      </w:r>
      <w:r w:rsidRPr="007025B6">
        <w:rPr>
          <w:rFonts w:cs="Arial"/>
          <w:bCs/>
          <w:color w:val="548DD4" w:themeColor="text2" w:themeTint="99"/>
          <w:sz w:val="24"/>
          <w:szCs w:val="24"/>
          <w:lang w:val="mn-MN"/>
        </w:rPr>
        <w:t>Улаан өндөгний баярын өмнөх Пүрэв, Баасан гаригуудад тохионо.</w:t>
      </w:r>
    </w:p>
    <w:p w:rsidR="001E071E" w:rsidRPr="001E071E" w:rsidRDefault="001E071E" w:rsidP="001E071E">
      <w:pPr>
        <w:ind w:left="705"/>
        <w:jc w:val="both"/>
        <w:rPr>
          <w:rFonts w:cs="Arial"/>
          <w:bCs/>
          <w:color w:val="548DD4" w:themeColor="text2" w:themeTint="99"/>
          <w:sz w:val="24"/>
          <w:szCs w:val="24"/>
        </w:rPr>
      </w:pPr>
      <w:r w:rsidRPr="007025B6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Тайлбар. </w:t>
      </w:r>
      <w:r w:rsidRPr="007025B6">
        <w:rPr>
          <w:rFonts w:cs="Arial"/>
          <w:bCs/>
          <w:i/>
          <w:iCs/>
          <w:color w:val="548DD4" w:themeColor="text2" w:themeTint="99"/>
          <w:sz w:val="24"/>
          <w:szCs w:val="24"/>
          <w:lang w:val="mn-MN"/>
        </w:rPr>
        <w:t>Улаан өндөгний баяр нь Ням ба Даваа гаригт дамжин тохиодог.</w:t>
      </w:r>
      <w:r w:rsidRPr="007025B6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 </w:t>
      </w:r>
      <w:r w:rsidRPr="007025B6">
        <w:rPr>
          <w:rFonts w:cs="Arial"/>
          <w:bCs/>
          <w:color w:val="548DD4" w:themeColor="text2" w:themeTint="99"/>
          <w:sz w:val="24"/>
          <w:szCs w:val="24"/>
        </w:rPr>
        <w:t xml:space="preserve"> </w:t>
      </w:r>
    </w:p>
    <w:p w:rsidR="006A163E" w:rsidRPr="001E071E" w:rsidRDefault="006A163E" w:rsidP="001E071E">
      <w:pPr>
        <w:jc w:val="both"/>
        <w:rPr>
          <w:rFonts w:cs="Arial"/>
          <w:bCs/>
          <w:sz w:val="24"/>
          <w:szCs w:val="24"/>
        </w:rPr>
      </w:pPr>
    </w:p>
    <w:p w:rsidR="006A163E" w:rsidRDefault="006A163E" w:rsidP="001E071E">
      <w:pPr>
        <w:numPr>
          <w:ilvl w:val="0"/>
          <w:numId w:val="4"/>
        </w:numPr>
        <w:jc w:val="both"/>
        <w:rPr>
          <w:rFonts w:cs="Arial"/>
          <w:bCs/>
          <w:sz w:val="24"/>
          <w:szCs w:val="24"/>
        </w:rPr>
      </w:pPr>
      <w:r w:rsidRPr="001E071E">
        <w:rPr>
          <w:rFonts w:cs="Arial"/>
          <w:b/>
          <w:bCs/>
          <w:sz w:val="24"/>
          <w:szCs w:val="24"/>
        </w:rPr>
        <w:t>Hlavní prázdniny</w:t>
      </w:r>
      <w:r w:rsidRPr="001E071E">
        <w:rPr>
          <w:rFonts w:cs="Arial"/>
          <w:bCs/>
          <w:sz w:val="24"/>
          <w:szCs w:val="24"/>
        </w:rPr>
        <w:t xml:space="preserve"> -od 1. července do 31. srpna.</w:t>
      </w:r>
    </w:p>
    <w:p w:rsidR="001E071E" w:rsidRPr="001E071E" w:rsidRDefault="001E071E" w:rsidP="001E071E">
      <w:pPr>
        <w:ind w:left="720"/>
        <w:jc w:val="both"/>
        <w:rPr>
          <w:rFonts w:cs="Arial"/>
          <w:bCs/>
          <w:color w:val="548DD4" w:themeColor="text2" w:themeTint="99"/>
          <w:sz w:val="24"/>
          <w:szCs w:val="24"/>
        </w:rPr>
      </w:pPr>
      <w:r w:rsidRPr="007025B6">
        <w:rPr>
          <w:rFonts w:cs="Arial"/>
          <w:bCs/>
          <w:color w:val="548DD4" w:themeColor="text2" w:themeTint="99"/>
          <w:sz w:val="24"/>
          <w:szCs w:val="24"/>
          <w:lang w:val="mn-MN"/>
        </w:rPr>
        <w:t>Зуны амралт</w:t>
      </w:r>
      <w:r w:rsidRPr="007025B6">
        <w:rPr>
          <w:rFonts w:cs="Arial"/>
          <w:bCs/>
          <w:color w:val="548DD4" w:themeColor="text2" w:themeTint="99"/>
          <w:sz w:val="24"/>
          <w:szCs w:val="24"/>
        </w:rPr>
        <w:t xml:space="preserve"> –</w:t>
      </w:r>
      <w:r w:rsidRPr="007025B6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 7 дугаар сарын 1-нээс 8 дугаар сарын 31 хүртэл үргэлжилнэ.</w:t>
      </w:r>
    </w:p>
    <w:p w:rsidR="006A163E" w:rsidRPr="001E071E" w:rsidRDefault="006A163E" w:rsidP="001E071E">
      <w:pPr>
        <w:jc w:val="both"/>
        <w:rPr>
          <w:rFonts w:cs="Arial"/>
          <w:bCs/>
          <w:sz w:val="24"/>
          <w:szCs w:val="24"/>
        </w:rPr>
      </w:pPr>
    </w:p>
    <w:p w:rsidR="006A163E" w:rsidRDefault="006A163E" w:rsidP="001E071E">
      <w:pPr>
        <w:numPr>
          <w:ilvl w:val="0"/>
          <w:numId w:val="4"/>
        </w:numPr>
        <w:jc w:val="both"/>
        <w:rPr>
          <w:rFonts w:cs="Arial"/>
          <w:bCs/>
          <w:sz w:val="24"/>
          <w:szCs w:val="24"/>
        </w:rPr>
      </w:pPr>
      <w:r w:rsidRPr="001E071E">
        <w:rPr>
          <w:rFonts w:cs="Arial"/>
          <w:bCs/>
          <w:sz w:val="24"/>
          <w:szCs w:val="24"/>
        </w:rPr>
        <w:t xml:space="preserve">Ze závažných důvodů, zejména organizačních a technických, může ředitel školy vyhlásit pro žáky volné dny, tzv. </w:t>
      </w:r>
      <w:r w:rsidRPr="001E071E">
        <w:rPr>
          <w:rFonts w:cs="Arial"/>
          <w:b/>
          <w:bCs/>
          <w:sz w:val="24"/>
          <w:szCs w:val="24"/>
        </w:rPr>
        <w:t>ředitelské volno</w:t>
      </w:r>
      <w:r w:rsidRPr="001E071E">
        <w:rPr>
          <w:rFonts w:cs="Arial"/>
          <w:bCs/>
          <w:sz w:val="24"/>
          <w:szCs w:val="24"/>
        </w:rPr>
        <w:t xml:space="preserve"> a to maximálně pět v jednom školním roce.</w:t>
      </w:r>
    </w:p>
    <w:p w:rsidR="001E071E" w:rsidRPr="007025B6" w:rsidRDefault="001E071E" w:rsidP="001E071E">
      <w:pPr>
        <w:ind w:left="720"/>
        <w:jc w:val="both"/>
        <w:rPr>
          <w:rFonts w:cs="Arial"/>
          <w:bCs/>
          <w:color w:val="548DD4" w:themeColor="text2" w:themeTint="99"/>
          <w:sz w:val="24"/>
          <w:szCs w:val="24"/>
        </w:rPr>
      </w:pPr>
      <w:r w:rsidRPr="007025B6">
        <w:rPr>
          <w:rFonts w:cs="Arial"/>
          <w:bCs/>
          <w:color w:val="548DD4" w:themeColor="text2" w:themeTint="99"/>
          <w:sz w:val="24"/>
          <w:szCs w:val="24"/>
          <w:lang w:val="mn-MN"/>
        </w:rPr>
        <w:t xml:space="preserve">Зохион байгуулалтын болон техникийн гэх мэт шалтгаанаар сургуулийн захирал нь сурагчдад амралтын өдрүүд олгож болно. Гэхдээ энэ амралт нь нэг хичээлийн жилд 5 хоногоос илүүгүй байна. </w:t>
      </w:r>
    </w:p>
    <w:p w:rsidR="001E071E" w:rsidRDefault="001E071E" w:rsidP="001E071E">
      <w:pPr>
        <w:ind w:left="720"/>
        <w:jc w:val="both"/>
        <w:rPr>
          <w:rFonts w:cs="Arial"/>
          <w:bCs/>
          <w:sz w:val="24"/>
          <w:szCs w:val="24"/>
        </w:rPr>
      </w:pPr>
    </w:p>
    <w:p w:rsidR="001E071E" w:rsidRDefault="001E071E" w:rsidP="001E071E">
      <w:pPr>
        <w:ind w:left="720"/>
        <w:jc w:val="both"/>
        <w:rPr>
          <w:rFonts w:cs="Arial"/>
          <w:bCs/>
          <w:sz w:val="24"/>
          <w:szCs w:val="24"/>
        </w:rPr>
      </w:pPr>
    </w:p>
    <w:p w:rsidR="001E071E" w:rsidRDefault="001E071E" w:rsidP="001E071E">
      <w:pPr>
        <w:ind w:left="720"/>
        <w:jc w:val="both"/>
        <w:rPr>
          <w:rFonts w:cs="Arial"/>
          <w:bCs/>
          <w:sz w:val="24"/>
          <w:szCs w:val="24"/>
        </w:rPr>
      </w:pPr>
    </w:p>
    <w:p w:rsidR="001E071E" w:rsidRDefault="001E071E" w:rsidP="001E071E">
      <w:pPr>
        <w:ind w:left="720"/>
        <w:jc w:val="both"/>
        <w:rPr>
          <w:rFonts w:cs="Arial"/>
          <w:bCs/>
          <w:sz w:val="24"/>
          <w:szCs w:val="24"/>
        </w:rPr>
      </w:pPr>
    </w:p>
    <w:p w:rsidR="001E071E" w:rsidRDefault="001E071E" w:rsidP="001E071E">
      <w:pPr>
        <w:ind w:left="720"/>
        <w:jc w:val="both"/>
        <w:rPr>
          <w:rFonts w:cs="Arial"/>
          <w:bCs/>
          <w:sz w:val="24"/>
          <w:szCs w:val="24"/>
        </w:rPr>
      </w:pPr>
    </w:p>
    <w:p w:rsidR="001E071E" w:rsidRPr="001E071E" w:rsidRDefault="001E071E" w:rsidP="001E071E">
      <w:pPr>
        <w:jc w:val="both"/>
        <w:rPr>
          <w:rFonts w:cs="Arial"/>
          <w:bCs/>
          <w:sz w:val="24"/>
          <w:szCs w:val="24"/>
        </w:rPr>
      </w:pPr>
    </w:p>
    <w:p w:rsidR="006A163E" w:rsidRPr="001E071E" w:rsidRDefault="006A163E" w:rsidP="001E071E">
      <w:pPr>
        <w:jc w:val="both"/>
        <w:rPr>
          <w:rFonts w:cs="Arial"/>
          <w:sz w:val="24"/>
          <w:szCs w:val="24"/>
        </w:rPr>
      </w:pPr>
    </w:p>
    <w:p w:rsidR="006A163E" w:rsidRDefault="006A163E" w:rsidP="001E071E">
      <w:pPr>
        <w:jc w:val="center"/>
        <w:rPr>
          <w:rFonts w:cs="Arial"/>
          <w:b/>
          <w:sz w:val="24"/>
          <w:szCs w:val="24"/>
        </w:rPr>
      </w:pPr>
      <w:r w:rsidRPr="001E071E">
        <w:rPr>
          <w:rFonts w:cs="Arial"/>
          <w:b/>
          <w:sz w:val="24"/>
          <w:szCs w:val="24"/>
        </w:rPr>
        <w:t>Praktické rady:</w:t>
      </w:r>
    </w:p>
    <w:p w:rsidR="001E071E" w:rsidRPr="007025B6" w:rsidRDefault="001E071E" w:rsidP="001E071E">
      <w:pPr>
        <w:jc w:val="center"/>
        <w:rPr>
          <w:rFonts w:cs="Arial"/>
          <w:b/>
          <w:color w:val="548DD4" w:themeColor="text2" w:themeTint="99"/>
          <w:sz w:val="24"/>
          <w:szCs w:val="24"/>
        </w:rPr>
      </w:pPr>
      <w:r w:rsidRPr="007025B6">
        <w:rPr>
          <w:rFonts w:cs="Arial"/>
          <w:b/>
          <w:color w:val="548DD4" w:themeColor="text2" w:themeTint="99"/>
          <w:sz w:val="24"/>
          <w:szCs w:val="24"/>
          <w:lang w:val="mn-MN"/>
        </w:rPr>
        <w:t>Практик зөвлөлгөөнүүд</w:t>
      </w:r>
      <w:r w:rsidRPr="007025B6">
        <w:rPr>
          <w:rFonts w:cs="Arial"/>
          <w:b/>
          <w:color w:val="548DD4" w:themeColor="text2" w:themeTint="99"/>
          <w:sz w:val="24"/>
          <w:szCs w:val="24"/>
        </w:rPr>
        <w:t>:</w:t>
      </w:r>
    </w:p>
    <w:p w:rsidR="001E071E" w:rsidRPr="001E071E" w:rsidRDefault="001E071E" w:rsidP="001E071E">
      <w:pPr>
        <w:jc w:val="both"/>
        <w:rPr>
          <w:rFonts w:cs="Arial"/>
          <w:b/>
          <w:sz w:val="24"/>
          <w:szCs w:val="24"/>
        </w:rPr>
      </w:pPr>
    </w:p>
    <w:p w:rsidR="006A163E" w:rsidRPr="001E071E" w:rsidRDefault="006A163E" w:rsidP="001E071E">
      <w:pPr>
        <w:jc w:val="both"/>
        <w:rPr>
          <w:rFonts w:cs="Arial"/>
          <w:b/>
          <w:sz w:val="24"/>
          <w:szCs w:val="24"/>
        </w:rPr>
      </w:pPr>
    </w:p>
    <w:p w:rsidR="006A163E" w:rsidRDefault="006A163E" w:rsidP="001E071E">
      <w:pPr>
        <w:jc w:val="both"/>
        <w:rPr>
          <w:rFonts w:cs="Arial"/>
          <w:b/>
          <w:sz w:val="24"/>
          <w:szCs w:val="24"/>
          <w:u w:val="single"/>
        </w:rPr>
      </w:pPr>
      <w:r w:rsidRPr="001E071E">
        <w:rPr>
          <w:rFonts w:cs="Arial"/>
          <w:b/>
          <w:sz w:val="24"/>
          <w:szCs w:val="24"/>
          <w:u w:val="single"/>
        </w:rPr>
        <w:t>Jídlo</w:t>
      </w:r>
    </w:p>
    <w:p w:rsidR="001E071E" w:rsidRPr="007025B6" w:rsidRDefault="001E071E" w:rsidP="001E071E">
      <w:pPr>
        <w:spacing w:line="480" w:lineRule="auto"/>
        <w:jc w:val="both"/>
        <w:rPr>
          <w:rFonts w:cs="Arial"/>
          <w:b/>
          <w:color w:val="548DD4" w:themeColor="text2" w:themeTint="99"/>
          <w:sz w:val="24"/>
          <w:szCs w:val="24"/>
          <w:u w:val="single"/>
        </w:rPr>
      </w:pPr>
      <w:proofErr w:type="spellStart"/>
      <w:r w:rsidRPr="007025B6">
        <w:rPr>
          <w:rFonts w:cs="Arial"/>
          <w:b/>
          <w:color w:val="548DD4" w:themeColor="text2" w:themeTint="99"/>
          <w:sz w:val="24"/>
          <w:szCs w:val="24"/>
          <w:u w:val="single"/>
        </w:rPr>
        <w:t>Хоол</w:t>
      </w:r>
      <w:proofErr w:type="spellEnd"/>
    </w:p>
    <w:p w:rsidR="001E071E" w:rsidRPr="001E071E" w:rsidRDefault="001E071E" w:rsidP="001E071E">
      <w:pPr>
        <w:jc w:val="both"/>
        <w:rPr>
          <w:rFonts w:cs="Arial"/>
          <w:b/>
          <w:sz w:val="24"/>
          <w:szCs w:val="24"/>
          <w:u w:val="single"/>
        </w:rPr>
      </w:pPr>
    </w:p>
    <w:p w:rsidR="006A163E" w:rsidRDefault="006A163E" w:rsidP="001E071E">
      <w:pPr>
        <w:jc w:val="both"/>
        <w:rPr>
          <w:rFonts w:cs="Arial"/>
          <w:sz w:val="24"/>
          <w:szCs w:val="24"/>
        </w:rPr>
      </w:pPr>
      <w:r w:rsidRPr="001E071E">
        <w:rPr>
          <w:rFonts w:cs="Arial"/>
          <w:b/>
          <w:sz w:val="24"/>
          <w:szCs w:val="24"/>
        </w:rPr>
        <w:t xml:space="preserve">svačiny – </w:t>
      </w:r>
      <w:r w:rsidRPr="001E071E">
        <w:rPr>
          <w:rFonts w:cs="Arial"/>
          <w:sz w:val="24"/>
          <w:szCs w:val="24"/>
        </w:rPr>
        <w:t>v ČR si děti nosí svačinu i pití do školy, školy jim svačiny neposkytují</w:t>
      </w:r>
    </w:p>
    <w:p w:rsidR="001E071E" w:rsidRPr="007025B6" w:rsidRDefault="001E071E" w:rsidP="001E071E">
      <w:pPr>
        <w:jc w:val="both"/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7025B6">
        <w:rPr>
          <w:rFonts w:cs="Arial"/>
          <w:b/>
          <w:color w:val="548DD4" w:themeColor="text2" w:themeTint="99"/>
          <w:sz w:val="24"/>
          <w:szCs w:val="24"/>
        </w:rPr>
        <w:t>Хөнгөн</w:t>
      </w:r>
      <w:proofErr w:type="spellEnd"/>
      <w:r w:rsidRPr="007025B6">
        <w:rPr>
          <w:rFonts w:cs="Arial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b/>
          <w:color w:val="548DD4" w:themeColor="text2" w:themeTint="99"/>
          <w:sz w:val="24"/>
          <w:szCs w:val="24"/>
        </w:rPr>
        <w:t>зууш</w:t>
      </w:r>
      <w:proofErr w:type="spellEnd"/>
      <w:r w:rsidRPr="007025B6">
        <w:rPr>
          <w:rFonts w:cs="Arial"/>
          <w:b/>
          <w:color w:val="548DD4" w:themeColor="text2" w:themeTint="99"/>
          <w:sz w:val="24"/>
          <w:szCs w:val="24"/>
        </w:rPr>
        <w:t xml:space="preserve"> –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Чех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улсад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хүүхдүүд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хичээлд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ирэхдээ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хөнгөн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зууш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уух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зүйлээ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гэрээсээ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авчирдаг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.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Сургууль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зуушаар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хангадаггүй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>.</w:t>
      </w:r>
    </w:p>
    <w:p w:rsidR="001E071E" w:rsidRPr="001E071E" w:rsidRDefault="001E071E" w:rsidP="001E071E">
      <w:pPr>
        <w:jc w:val="both"/>
        <w:rPr>
          <w:rFonts w:cs="Arial"/>
          <w:sz w:val="24"/>
          <w:szCs w:val="24"/>
        </w:rPr>
      </w:pPr>
    </w:p>
    <w:p w:rsidR="001E071E" w:rsidRDefault="006A163E" w:rsidP="001E071E">
      <w:pPr>
        <w:jc w:val="both"/>
        <w:rPr>
          <w:rFonts w:cs="Arial"/>
          <w:sz w:val="24"/>
          <w:szCs w:val="24"/>
        </w:rPr>
      </w:pPr>
      <w:r w:rsidRPr="001E071E">
        <w:rPr>
          <w:rFonts w:cs="Arial"/>
          <w:b/>
          <w:sz w:val="24"/>
          <w:szCs w:val="24"/>
        </w:rPr>
        <w:t>obědy</w:t>
      </w:r>
      <w:r w:rsidRPr="001E071E">
        <w:rPr>
          <w:rFonts w:cs="Arial"/>
          <w:sz w:val="24"/>
          <w:szCs w:val="24"/>
        </w:rPr>
        <w:t xml:space="preserve"> – školní jídelny nabízí dětem obědy, které jsou částečně dotované, ale část rodiče platí sami</w:t>
      </w:r>
    </w:p>
    <w:p w:rsidR="001E071E" w:rsidRDefault="001E071E" w:rsidP="001E071E">
      <w:pPr>
        <w:jc w:val="both"/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7025B6">
        <w:rPr>
          <w:rFonts w:cs="Arial"/>
          <w:b/>
          <w:color w:val="548DD4" w:themeColor="text2" w:themeTint="99"/>
          <w:sz w:val="24"/>
          <w:szCs w:val="24"/>
        </w:rPr>
        <w:t>Үдийн</w:t>
      </w:r>
      <w:proofErr w:type="spellEnd"/>
      <w:r w:rsidRPr="007025B6">
        <w:rPr>
          <w:rFonts w:cs="Arial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b/>
          <w:color w:val="548DD4" w:themeColor="text2" w:themeTint="99"/>
          <w:sz w:val="24"/>
          <w:szCs w:val="24"/>
        </w:rPr>
        <w:t>хоол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–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Сургуулийн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хоолны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газар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хүүхдүүдэд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үдийн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хоол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өгнө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.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Хоолны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үнийн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зарим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хэсгийг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улсаас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даах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бөгөөд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үлдсэн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хэсгийг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эцэг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эхчүүд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төлнө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. </w:t>
      </w:r>
    </w:p>
    <w:p w:rsidR="001E071E" w:rsidRDefault="001E071E" w:rsidP="001E071E">
      <w:pPr>
        <w:jc w:val="both"/>
        <w:rPr>
          <w:rFonts w:cs="Arial"/>
          <w:color w:val="548DD4" w:themeColor="text2" w:themeTint="99"/>
          <w:sz w:val="24"/>
          <w:szCs w:val="24"/>
        </w:rPr>
      </w:pPr>
    </w:p>
    <w:p w:rsidR="001E071E" w:rsidRDefault="001E071E" w:rsidP="001E071E">
      <w:pPr>
        <w:jc w:val="both"/>
        <w:rPr>
          <w:rFonts w:cs="Arial"/>
          <w:color w:val="548DD4" w:themeColor="text2" w:themeTint="99"/>
          <w:sz w:val="24"/>
          <w:szCs w:val="24"/>
        </w:rPr>
      </w:pPr>
    </w:p>
    <w:p w:rsidR="001E071E" w:rsidRPr="007025B6" w:rsidRDefault="001E071E" w:rsidP="001E071E">
      <w:pPr>
        <w:jc w:val="both"/>
        <w:rPr>
          <w:rFonts w:cs="Arial"/>
          <w:color w:val="548DD4" w:themeColor="text2" w:themeTint="99"/>
          <w:sz w:val="24"/>
          <w:szCs w:val="24"/>
        </w:rPr>
      </w:pPr>
    </w:p>
    <w:p w:rsidR="006A163E" w:rsidRDefault="006A163E" w:rsidP="001E071E">
      <w:pPr>
        <w:jc w:val="both"/>
        <w:rPr>
          <w:rFonts w:cs="Arial"/>
          <w:b/>
          <w:sz w:val="24"/>
          <w:szCs w:val="24"/>
          <w:u w:val="single"/>
        </w:rPr>
      </w:pPr>
      <w:r w:rsidRPr="001E071E">
        <w:rPr>
          <w:rFonts w:cs="Arial"/>
          <w:b/>
          <w:sz w:val="24"/>
          <w:szCs w:val="24"/>
          <w:u w:val="single"/>
        </w:rPr>
        <w:t>Oblečení</w:t>
      </w:r>
    </w:p>
    <w:p w:rsidR="001E071E" w:rsidRPr="007025B6" w:rsidRDefault="001E071E" w:rsidP="001E071E">
      <w:pPr>
        <w:spacing w:line="360" w:lineRule="auto"/>
        <w:jc w:val="both"/>
        <w:rPr>
          <w:rFonts w:cs="Arial"/>
          <w:b/>
          <w:color w:val="548DD4" w:themeColor="text2" w:themeTint="99"/>
          <w:sz w:val="24"/>
          <w:szCs w:val="24"/>
          <w:u w:val="single"/>
        </w:rPr>
      </w:pPr>
      <w:proofErr w:type="spellStart"/>
      <w:r w:rsidRPr="007025B6">
        <w:rPr>
          <w:rFonts w:cs="Arial"/>
          <w:b/>
          <w:color w:val="548DD4" w:themeColor="text2" w:themeTint="99"/>
          <w:sz w:val="24"/>
          <w:szCs w:val="24"/>
          <w:u w:val="single"/>
        </w:rPr>
        <w:t>Хувцас</w:t>
      </w:r>
      <w:proofErr w:type="spellEnd"/>
    </w:p>
    <w:p w:rsidR="001E071E" w:rsidRPr="001E071E" w:rsidRDefault="001E071E" w:rsidP="001E071E">
      <w:pPr>
        <w:jc w:val="both"/>
        <w:rPr>
          <w:rFonts w:cs="Arial"/>
          <w:sz w:val="24"/>
          <w:szCs w:val="24"/>
        </w:rPr>
      </w:pPr>
    </w:p>
    <w:p w:rsidR="006A163E" w:rsidRDefault="006A163E" w:rsidP="001E071E">
      <w:pPr>
        <w:jc w:val="both"/>
        <w:rPr>
          <w:rFonts w:cs="Arial"/>
          <w:sz w:val="24"/>
          <w:szCs w:val="24"/>
        </w:rPr>
      </w:pPr>
      <w:r w:rsidRPr="001E071E">
        <w:rPr>
          <w:rFonts w:cs="Arial"/>
          <w:sz w:val="24"/>
          <w:szCs w:val="24"/>
        </w:rPr>
        <w:t>Do školy je potřeba nosit přezůvky, chodit slušně a čistě oblečeni, na tělesnou výchovu (TV) je nutné nosit sportovní oblečení a sportovní obuv.</w:t>
      </w:r>
    </w:p>
    <w:p w:rsidR="001E071E" w:rsidRPr="007025B6" w:rsidRDefault="001E071E" w:rsidP="001E071E">
      <w:pPr>
        <w:jc w:val="both"/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Сурагчид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нь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сургууль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дээрээ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шаахай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өмсөх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бөгөөд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даруу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цэвэрхэн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хувцасласан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байх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ёстой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.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Биеийн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тамирын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хичээлд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бэлтгэлийн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хувцас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спортын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гутал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өмсөнө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>.</w:t>
      </w:r>
    </w:p>
    <w:p w:rsidR="001E071E" w:rsidRPr="001E071E" w:rsidRDefault="001E071E" w:rsidP="001E071E">
      <w:pPr>
        <w:jc w:val="both"/>
        <w:rPr>
          <w:rFonts w:cs="Arial"/>
          <w:sz w:val="24"/>
          <w:szCs w:val="24"/>
        </w:rPr>
      </w:pPr>
    </w:p>
    <w:p w:rsidR="006A163E" w:rsidRDefault="006A163E" w:rsidP="001E071E">
      <w:pPr>
        <w:jc w:val="both"/>
        <w:rPr>
          <w:rFonts w:cs="Arial"/>
          <w:b/>
          <w:sz w:val="24"/>
          <w:szCs w:val="24"/>
          <w:u w:val="single"/>
        </w:rPr>
      </w:pPr>
      <w:r w:rsidRPr="001E071E">
        <w:rPr>
          <w:rFonts w:cs="Arial"/>
          <w:b/>
          <w:sz w:val="24"/>
          <w:szCs w:val="24"/>
          <w:u w:val="single"/>
        </w:rPr>
        <w:t>Pomůcky</w:t>
      </w:r>
    </w:p>
    <w:p w:rsidR="001E071E" w:rsidRPr="007025B6" w:rsidRDefault="001E071E" w:rsidP="001E071E">
      <w:pPr>
        <w:spacing w:line="360" w:lineRule="auto"/>
        <w:jc w:val="both"/>
        <w:rPr>
          <w:rFonts w:cs="Arial"/>
          <w:b/>
          <w:color w:val="548DD4" w:themeColor="text2" w:themeTint="99"/>
          <w:sz w:val="24"/>
          <w:szCs w:val="24"/>
          <w:u w:val="single"/>
        </w:rPr>
      </w:pPr>
      <w:proofErr w:type="spellStart"/>
      <w:r w:rsidRPr="007025B6">
        <w:rPr>
          <w:rFonts w:cs="Arial"/>
          <w:b/>
          <w:color w:val="548DD4" w:themeColor="text2" w:themeTint="99"/>
          <w:sz w:val="24"/>
          <w:szCs w:val="24"/>
          <w:u w:val="single"/>
        </w:rPr>
        <w:t>Хичээлийн</w:t>
      </w:r>
      <w:proofErr w:type="spellEnd"/>
      <w:r w:rsidRPr="007025B6">
        <w:rPr>
          <w:rFonts w:cs="Arial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7025B6">
        <w:rPr>
          <w:rFonts w:cs="Arial"/>
          <w:b/>
          <w:color w:val="548DD4" w:themeColor="text2" w:themeTint="99"/>
          <w:sz w:val="24"/>
          <w:szCs w:val="24"/>
          <w:u w:val="single"/>
        </w:rPr>
        <w:t>нэмэлт</w:t>
      </w:r>
      <w:proofErr w:type="spellEnd"/>
      <w:r w:rsidRPr="007025B6">
        <w:rPr>
          <w:rFonts w:cs="Arial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7025B6">
        <w:rPr>
          <w:rFonts w:cs="Arial"/>
          <w:b/>
          <w:color w:val="548DD4" w:themeColor="text2" w:themeTint="99"/>
          <w:sz w:val="24"/>
          <w:szCs w:val="24"/>
          <w:u w:val="single"/>
        </w:rPr>
        <w:t>хэрэгсэл</w:t>
      </w:r>
      <w:proofErr w:type="spellEnd"/>
    </w:p>
    <w:p w:rsidR="001E071E" w:rsidRPr="001E071E" w:rsidRDefault="001E071E" w:rsidP="001E071E">
      <w:pPr>
        <w:jc w:val="both"/>
        <w:rPr>
          <w:rFonts w:cs="Arial"/>
          <w:b/>
          <w:sz w:val="24"/>
          <w:szCs w:val="24"/>
          <w:u w:val="single"/>
        </w:rPr>
      </w:pPr>
    </w:p>
    <w:p w:rsidR="006A163E" w:rsidRDefault="006A163E" w:rsidP="001E071E">
      <w:pPr>
        <w:jc w:val="both"/>
        <w:rPr>
          <w:rFonts w:cs="Arial"/>
          <w:sz w:val="24"/>
          <w:szCs w:val="24"/>
        </w:rPr>
      </w:pPr>
      <w:r w:rsidRPr="001E071E">
        <w:rPr>
          <w:rFonts w:cs="Arial"/>
          <w:sz w:val="24"/>
          <w:szCs w:val="24"/>
        </w:rPr>
        <w:t xml:space="preserve">Na konkrétní předměty jsou potřeba různé pomůcky, které si učitelé určují podle potřeby, na matematiku jsou to většinou rýsovací potřeby (pravítka, kružítko, tužky, úhloměr) a na výtvarnou výchovu výtvarné potřeby (štětce, barvy, nůžky, </w:t>
      </w:r>
      <w:proofErr w:type="gramStart"/>
      <w:r w:rsidRPr="001E071E">
        <w:rPr>
          <w:rFonts w:cs="Arial"/>
          <w:sz w:val="24"/>
          <w:szCs w:val="24"/>
        </w:rPr>
        <w:t>lepidlo..).</w:t>
      </w:r>
      <w:proofErr w:type="gramEnd"/>
    </w:p>
    <w:p w:rsidR="001E071E" w:rsidRPr="007025B6" w:rsidRDefault="001E071E" w:rsidP="001E071E">
      <w:pPr>
        <w:jc w:val="both"/>
        <w:rPr>
          <w:rFonts w:cs="Arial"/>
          <w:b/>
          <w:color w:val="548DD4" w:themeColor="text2" w:themeTint="99"/>
          <w:sz w:val="24"/>
          <w:szCs w:val="24"/>
          <w:u w:val="single"/>
        </w:rPr>
      </w:pP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Хичээл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болгонд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багш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нараас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тодорхойлсон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хичээлийн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нэмлт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хэрэгслийг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хэрэглэнэ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.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Жишээ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нь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математикийн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хичээл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дээр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шугам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гортиг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харандаа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өнцөг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хэмжигч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, 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урлан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бүтээх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хичээл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дээр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бийр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багс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будаг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хайч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цавуу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гэх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мэт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зүйлс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7025B6">
        <w:rPr>
          <w:rFonts w:cs="Arial"/>
          <w:color w:val="548DD4" w:themeColor="text2" w:themeTint="99"/>
          <w:sz w:val="24"/>
          <w:szCs w:val="24"/>
        </w:rPr>
        <w:t>шаардагддаг</w:t>
      </w:r>
      <w:proofErr w:type="spellEnd"/>
      <w:r w:rsidRPr="007025B6">
        <w:rPr>
          <w:rFonts w:cs="Arial"/>
          <w:color w:val="548DD4" w:themeColor="text2" w:themeTint="99"/>
          <w:sz w:val="24"/>
          <w:szCs w:val="24"/>
        </w:rPr>
        <w:t>.</w:t>
      </w:r>
    </w:p>
    <w:p w:rsidR="001E071E" w:rsidRPr="001E071E" w:rsidRDefault="001E071E" w:rsidP="001E071E">
      <w:pPr>
        <w:jc w:val="both"/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</w:p>
    <w:p w:rsidR="00AC47F6" w:rsidRPr="001E071E" w:rsidRDefault="00AC47F6" w:rsidP="001E071E">
      <w:pPr>
        <w:rPr>
          <w:rFonts w:cs="Arial"/>
          <w:sz w:val="24"/>
          <w:szCs w:val="24"/>
        </w:rPr>
      </w:pPr>
    </w:p>
    <w:sectPr w:rsidR="00AC47F6" w:rsidRPr="001E071E" w:rsidSect="006A163E">
      <w:footerReference w:type="default" r:id="rId8"/>
      <w:pgSz w:w="11906" w:h="16838"/>
      <w:pgMar w:top="567" w:right="1418" w:bottom="1418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E2" w:rsidRDefault="00923BE2" w:rsidP="00B939AF">
      <w:r>
        <w:separator/>
      </w:r>
    </w:p>
  </w:endnote>
  <w:endnote w:type="continuationSeparator" w:id="0">
    <w:p w:rsidR="00923BE2" w:rsidRDefault="00923BE2" w:rsidP="00B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4F" w:rsidRPr="008A318B" w:rsidRDefault="005A7E4F" w:rsidP="005A7E4F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8A318B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5A7E4F" w:rsidRPr="00B939AF" w:rsidRDefault="005A7E4F" w:rsidP="005A7E4F">
    <w:pPr>
      <w:pStyle w:val="Zpat"/>
      <w:jc w:val="both"/>
      <w:rPr>
        <w:i/>
      </w:rPr>
    </w:pPr>
    <w:r>
      <w:rPr>
        <w:noProof/>
      </w:rPr>
      <w:drawing>
        <wp:inline distT="0" distB="0" distL="0" distR="0">
          <wp:extent cx="866775" cy="43815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</w:rPr>
      <w:drawing>
        <wp:inline distT="0" distB="0" distL="0" distR="0">
          <wp:extent cx="1771650" cy="304800"/>
          <wp:effectExtent l="0" t="0" r="0" b="0"/>
          <wp:docPr id="4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    </w:t>
    </w:r>
    <w:r>
      <w:rPr>
        <w:noProof/>
      </w:rPr>
      <w:drawing>
        <wp:inline distT="0" distB="0" distL="0" distR="0">
          <wp:extent cx="447675" cy="3048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14425" cy="3143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704850" cy="333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7E4F" w:rsidRPr="008A318B" w:rsidRDefault="005A7E4F" w:rsidP="005A7E4F">
    <w:pPr>
      <w:pStyle w:val="Zpat"/>
    </w:pPr>
  </w:p>
  <w:p w:rsidR="00B939AF" w:rsidRPr="005A7E4F" w:rsidRDefault="00B939AF" w:rsidP="005A7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E2" w:rsidRDefault="00923BE2" w:rsidP="00B939AF">
      <w:r>
        <w:separator/>
      </w:r>
    </w:p>
  </w:footnote>
  <w:footnote w:type="continuationSeparator" w:id="0">
    <w:p w:rsidR="00923BE2" w:rsidRDefault="00923BE2" w:rsidP="00B9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5F6"/>
    <w:multiLevelType w:val="hybridMultilevel"/>
    <w:tmpl w:val="1988E8B0"/>
    <w:lvl w:ilvl="0" w:tplc="F8A69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9B0F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C1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C4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2D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0A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B02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23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68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FB182C"/>
    <w:multiLevelType w:val="hybridMultilevel"/>
    <w:tmpl w:val="0092200C"/>
    <w:lvl w:ilvl="0" w:tplc="C8A86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A68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85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25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03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C9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6C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E7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84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D467C8"/>
    <w:multiLevelType w:val="hybridMultilevel"/>
    <w:tmpl w:val="76505CF4"/>
    <w:lvl w:ilvl="0" w:tplc="930CA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E6C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ED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AF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4F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25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8C5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44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EA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1774FD"/>
    <w:multiLevelType w:val="hybridMultilevel"/>
    <w:tmpl w:val="CB2E6074"/>
    <w:lvl w:ilvl="0" w:tplc="F8A69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043B93"/>
    <w:multiLevelType w:val="hybridMultilevel"/>
    <w:tmpl w:val="7B2A6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00FD1"/>
    <w:multiLevelType w:val="hybridMultilevel"/>
    <w:tmpl w:val="0E483CD8"/>
    <w:lvl w:ilvl="0" w:tplc="B0682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2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620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EAA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540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6A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CE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E9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4CD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F8F72C2"/>
    <w:multiLevelType w:val="hybridMultilevel"/>
    <w:tmpl w:val="F4A88724"/>
    <w:lvl w:ilvl="0" w:tplc="02283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0E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16F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E8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7CF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43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304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883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8E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CFF4B9F"/>
    <w:multiLevelType w:val="hybridMultilevel"/>
    <w:tmpl w:val="EA6AA30E"/>
    <w:lvl w:ilvl="0" w:tplc="F8A69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AF"/>
    <w:rsid w:val="001E071E"/>
    <w:rsid w:val="002B6285"/>
    <w:rsid w:val="003D4C36"/>
    <w:rsid w:val="005A7E4F"/>
    <w:rsid w:val="006A163E"/>
    <w:rsid w:val="007A6A7E"/>
    <w:rsid w:val="007E5D8A"/>
    <w:rsid w:val="00923BE2"/>
    <w:rsid w:val="009B7C31"/>
    <w:rsid w:val="00AC47F6"/>
    <w:rsid w:val="00B15689"/>
    <w:rsid w:val="00B939AF"/>
    <w:rsid w:val="00C51D07"/>
    <w:rsid w:val="00D5431A"/>
    <w:rsid w:val="00EE42FA"/>
    <w:rsid w:val="00F07C32"/>
    <w:rsid w:val="00F85C02"/>
    <w:rsid w:val="00F951B1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E0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E0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2</cp:revision>
  <dcterms:created xsi:type="dcterms:W3CDTF">2014-07-25T12:26:00Z</dcterms:created>
  <dcterms:modified xsi:type="dcterms:W3CDTF">2014-07-25T12:26:00Z</dcterms:modified>
</cp:coreProperties>
</file>