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841F0" w14:textId="77777777" w:rsidR="00A10A51" w:rsidRPr="00A10A51" w:rsidRDefault="00A10A51" w:rsidP="00350389">
      <w:pPr>
        <w:spacing w:before="120" w:after="0"/>
        <w:rPr>
          <w:rFonts w:asciiTheme="minorHAnsi" w:eastAsia="Verdana" w:hAnsiTheme="minorHAnsi" w:cstheme="minorHAnsi"/>
          <w:b/>
          <w:u w:val="single"/>
        </w:rPr>
      </w:pPr>
      <w:r w:rsidRPr="00A10A51">
        <w:rPr>
          <w:rFonts w:asciiTheme="minorHAnsi" w:eastAsia="Verdana" w:hAnsiTheme="minorHAnsi" w:cstheme="minorHAnsi"/>
          <w:b/>
          <w:sz w:val="28"/>
          <w:u w:val="single"/>
        </w:rPr>
        <w:t>Informace o předškolním vzdělávání</w:t>
      </w:r>
    </w:p>
    <w:p w14:paraId="48ECF823" w14:textId="77777777" w:rsidR="00A10A51" w:rsidRPr="00350389" w:rsidRDefault="00A10A51" w:rsidP="00350389">
      <w:pPr>
        <w:spacing w:after="0" w:line="240" w:lineRule="auto"/>
        <w:rPr>
          <w:rFonts w:asciiTheme="minorHAnsi" w:hAnsiTheme="minorHAnsi" w:cstheme="minorHAnsi"/>
          <w:noProof/>
          <w:color w:val="0070C0"/>
          <w:sz w:val="16"/>
          <w:szCs w:val="16"/>
        </w:rPr>
      </w:pPr>
    </w:p>
    <w:p w14:paraId="0551CCD9" w14:textId="5E984905" w:rsidR="00A10A51" w:rsidRPr="00A10A51" w:rsidRDefault="00A10A51" w:rsidP="00350389">
      <w:pPr>
        <w:spacing w:before="120" w:after="0"/>
        <w:rPr>
          <w:rFonts w:asciiTheme="minorHAnsi" w:eastAsia="Verdana" w:hAnsiTheme="minorHAnsi" w:cstheme="minorHAnsi"/>
          <w:b/>
          <w:noProof/>
          <w:color w:val="1F497D" w:themeColor="text2"/>
          <w:u w:val="single"/>
        </w:rPr>
      </w:pPr>
      <w:r w:rsidRPr="00A10A51">
        <w:rPr>
          <w:rFonts w:asciiTheme="minorHAnsi" w:eastAsia="Verdana" w:hAnsiTheme="minorHAnsi" w:cstheme="minorHAnsi"/>
          <w:b/>
          <w:u w:val="single"/>
        </w:rPr>
        <w:t>Obecné informace o fungování předškolního vzdělávání v ČR</w:t>
      </w:r>
    </w:p>
    <w:p w14:paraId="2E2C4B65" w14:textId="2050ED0A" w:rsidR="00A10A51" w:rsidRPr="00A10A51" w:rsidRDefault="00A10A51" w:rsidP="00A10A51">
      <w:pPr>
        <w:spacing w:before="120" w:after="120"/>
        <w:rPr>
          <w:rFonts w:asciiTheme="minorHAnsi" w:eastAsiaTheme="minorEastAsia" w:hAnsiTheme="minorHAnsi" w:cstheme="minorHAnsi"/>
          <w:noProof/>
          <w:color w:val="1F497D" w:themeColor="text2"/>
        </w:rPr>
      </w:pPr>
      <w:r w:rsidRPr="00A10A51">
        <w:rPr>
          <w:rFonts w:asciiTheme="minorHAnsi" w:eastAsia="Verdana" w:hAnsiTheme="minorHAnsi" w:cstheme="minorHAnsi"/>
        </w:rPr>
        <w:t>Předškolní vzdělávání je určeno dětem od 3 do 6 let, mohou být však přijaty i</w:t>
      </w:r>
      <w:r w:rsidR="00350389">
        <w:rPr>
          <w:rFonts w:asciiTheme="minorHAnsi" w:eastAsia="Verdana" w:hAnsiTheme="minorHAnsi" w:cstheme="minorHAnsi"/>
        </w:rPr>
        <w:t> </w:t>
      </w:r>
      <w:r w:rsidRPr="00A10A51">
        <w:rPr>
          <w:rFonts w:asciiTheme="minorHAnsi" w:eastAsia="Verdana" w:hAnsiTheme="minorHAnsi" w:cstheme="minorHAnsi"/>
        </w:rPr>
        <w:t>děti 2leté. Podporuje výchovné působení rodiny a doplňuje je o specifické podněty. Je etapou vzdělávání, v němž dítě získává především sociální zkušenosti, poznatky o životě kolem a první podněty pro celoživotní učení. Vzdělávání v mateřské škole se řídí kurikulárním dokumentem Rámcový vzdělávací program pro předškolní vzdělávání.</w:t>
      </w:r>
    </w:p>
    <w:p w14:paraId="378AEF0D" w14:textId="24438A91" w:rsidR="00A10A51" w:rsidRDefault="00A10A51" w:rsidP="00A10A51">
      <w:pPr>
        <w:spacing w:before="120" w:after="120"/>
        <w:rPr>
          <w:rFonts w:asciiTheme="minorHAnsi" w:eastAsia="Verdana" w:hAnsiTheme="minorHAnsi" w:cstheme="minorHAnsi"/>
        </w:rPr>
      </w:pPr>
      <w:r w:rsidRPr="00A10A51">
        <w:rPr>
          <w:rFonts w:asciiTheme="minorHAnsi" w:eastAsia="Verdana" w:hAnsiTheme="minorHAnsi" w:cstheme="minorHAnsi"/>
        </w:rPr>
        <w:t>Docházka do MŠ je povinná pro děti od 5 let věku (rozhodující je věk dítěte k 31.8. daného roku). Rodiče hradí v MŠ část nákladů na vzdělávání (tzv.</w:t>
      </w:r>
      <w:r w:rsidR="00350389">
        <w:rPr>
          <w:rFonts w:asciiTheme="minorHAnsi" w:eastAsia="Verdana" w:hAnsiTheme="minorHAnsi" w:cstheme="minorHAnsi"/>
        </w:rPr>
        <w:t> </w:t>
      </w:r>
      <w:r w:rsidRPr="00A10A51">
        <w:rPr>
          <w:rFonts w:asciiTheme="minorHAnsi" w:eastAsia="Verdana" w:hAnsiTheme="minorHAnsi" w:cstheme="minorHAnsi"/>
        </w:rPr>
        <w:t xml:space="preserve">školné) a stravné (celkem asi 1000-2000Kč měsíčně). Děti, které mají nastoupit do povinného předškolního ročníku, jsou přijímány do mateřské školy přednostně a platí pouze náklady na stravné (asi 30-35 Kč za den). Dalším kritériem pro přijetí dítěte může být trvalé bydliště v obci nebo městské části, která danou MŠ zřizuje. Mateřské školy v ČR mohou být státní, soukromé i církevní - výše poplatků se proto u jednotlivých MŠ liší. </w:t>
      </w:r>
    </w:p>
    <w:p w14:paraId="2158FFBB" w14:textId="4CE8889C" w:rsidR="00A10A51" w:rsidRPr="00F21731" w:rsidRDefault="00A10A51" w:rsidP="00350389">
      <w:pPr>
        <w:spacing w:before="120" w:after="0"/>
        <w:rPr>
          <w:rFonts w:asciiTheme="minorHAnsi" w:eastAsia="Verdana" w:hAnsiTheme="minorHAnsi" w:cstheme="minorHAnsi"/>
          <w:b/>
          <w:color w:val="0070C0"/>
          <w:sz w:val="28"/>
          <w:u w:val="single"/>
          <w:lang w:val="ro-RO"/>
        </w:rPr>
      </w:pPr>
      <w:bookmarkStart w:id="0" w:name="_GoBack"/>
      <w:bookmarkEnd w:id="0"/>
      <w:r w:rsidRPr="00A10A51">
        <w:rPr>
          <w:rFonts w:asciiTheme="minorHAnsi" w:eastAsia="Verdana" w:hAnsiTheme="minorHAnsi" w:cstheme="minorHAnsi"/>
          <w:b/>
          <w:color w:val="0070C0"/>
          <w:sz w:val="28"/>
          <w:u w:val="single"/>
        </w:rPr>
        <w:t>Informa</w:t>
      </w:r>
      <w:r w:rsidR="00F21731">
        <w:rPr>
          <w:rFonts w:asciiTheme="minorHAnsi" w:eastAsia="Verdana" w:hAnsiTheme="minorHAnsi" w:cstheme="minorHAnsi"/>
          <w:b/>
          <w:color w:val="0070C0"/>
          <w:sz w:val="28"/>
          <w:u w:val="single"/>
          <w:lang w:val="ro-RO"/>
        </w:rPr>
        <w:t xml:space="preserve">ții despre învățământul preșcolar </w:t>
      </w:r>
    </w:p>
    <w:p w14:paraId="05F56895" w14:textId="77777777" w:rsidR="00A10A51" w:rsidRPr="00350389" w:rsidRDefault="00A10A51" w:rsidP="00350389">
      <w:pPr>
        <w:spacing w:after="0" w:line="240" w:lineRule="auto"/>
        <w:rPr>
          <w:rFonts w:asciiTheme="minorHAnsi" w:eastAsia="Verdana" w:hAnsiTheme="minorHAnsi" w:cstheme="minorHAnsi"/>
          <w:sz w:val="16"/>
          <w:szCs w:val="16"/>
        </w:rPr>
      </w:pPr>
    </w:p>
    <w:p w14:paraId="0CBB2769" w14:textId="30F953A7" w:rsidR="00A10A51" w:rsidRPr="00A10A51" w:rsidRDefault="00F21731" w:rsidP="00350389">
      <w:pPr>
        <w:spacing w:before="120" w:after="0"/>
        <w:rPr>
          <w:rFonts w:asciiTheme="minorHAnsi" w:eastAsia="Verdana" w:hAnsiTheme="minorHAnsi" w:cstheme="minorHAnsi"/>
          <w:b/>
          <w:noProof/>
          <w:color w:val="0070C0"/>
          <w:u w:val="single"/>
        </w:rPr>
      </w:pPr>
      <w:r>
        <w:rPr>
          <w:rFonts w:asciiTheme="minorHAnsi" w:eastAsia="Verdana" w:hAnsiTheme="minorHAnsi" w:cstheme="minorHAnsi"/>
          <w:b/>
          <w:color w:val="0070C0"/>
          <w:u w:val="single"/>
        </w:rPr>
        <w:t>Informații generale despre sistemul de educație preșcolară în Cehia</w:t>
      </w:r>
      <w:r w:rsidR="00A10A51" w:rsidRPr="00A10A51">
        <w:rPr>
          <w:rFonts w:asciiTheme="minorHAnsi" w:eastAsia="Verdana" w:hAnsiTheme="minorHAnsi" w:cstheme="minorHAnsi"/>
          <w:color w:val="0070C0"/>
        </w:rPr>
        <w:t xml:space="preserve">  </w:t>
      </w:r>
    </w:p>
    <w:p w14:paraId="02E38C8A" w14:textId="521C8C0B" w:rsidR="00A10A51" w:rsidRPr="00A10A51" w:rsidRDefault="00F21731" w:rsidP="00A10A51">
      <w:pPr>
        <w:spacing w:before="120" w:after="120"/>
        <w:rPr>
          <w:rFonts w:asciiTheme="minorHAnsi" w:eastAsiaTheme="minorEastAsia" w:hAnsiTheme="minorHAnsi" w:cstheme="minorHAnsi"/>
          <w:noProof/>
          <w:color w:val="0070C0"/>
        </w:rPr>
      </w:pPr>
      <w:r>
        <w:rPr>
          <w:rFonts w:asciiTheme="minorHAnsi" w:eastAsia="Verdana" w:hAnsiTheme="minorHAnsi" w:cstheme="minorHAnsi"/>
          <w:color w:val="0070C0"/>
        </w:rPr>
        <w:t>E</w:t>
      </w:r>
      <w:r w:rsidR="006B0C4C">
        <w:rPr>
          <w:rFonts w:asciiTheme="minorHAnsi" w:eastAsia="Verdana" w:hAnsiTheme="minorHAnsi" w:cstheme="minorHAnsi"/>
          <w:color w:val="0070C0"/>
        </w:rPr>
        <w:t>d</w:t>
      </w:r>
      <w:r>
        <w:rPr>
          <w:rFonts w:asciiTheme="minorHAnsi" w:eastAsia="Verdana" w:hAnsiTheme="minorHAnsi" w:cstheme="minorHAnsi"/>
          <w:color w:val="0070C0"/>
        </w:rPr>
        <w:t xml:space="preserve">ucația preșcolară este destinată copiilor cu vârsta cuprinsă între 3 și 6 ani, pot fi admiși și copii de 2 ani. Sprijină activitățile educaționale ale familiei și le completează cu stimule specifice. Este etapa de învățământ, în care copilul dobândește experiențe sociale, </w:t>
      </w:r>
      <w:r w:rsidR="00836B62">
        <w:rPr>
          <w:rFonts w:asciiTheme="minorHAnsi" w:eastAsia="Verdana" w:hAnsiTheme="minorHAnsi" w:cstheme="minorHAnsi"/>
          <w:color w:val="0070C0"/>
        </w:rPr>
        <w:t xml:space="preserve">cunoștințe </w:t>
      </w:r>
      <w:r>
        <w:rPr>
          <w:rFonts w:asciiTheme="minorHAnsi" w:eastAsia="Verdana" w:hAnsiTheme="minorHAnsi" w:cstheme="minorHAnsi"/>
          <w:color w:val="0070C0"/>
        </w:rPr>
        <w:t>despre viața</w:t>
      </w:r>
      <w:r w:rsidR="00836B62">
        <w:rPr>
          <w:rFonts w:asciiTheme="minorHAnsi" w:eastAsia="Verdana" w:hAnsiTheme="minorHAnsi" w:cstheme="minorHAnsi"/>
          <w:color w:val="0070C0"/>
        </w:rPr>
        <w:t xml:space="preserve"> din jur </w:t>
      </w:r>
      <w:r>
        <w:rPr>
          <w:rFonts w:asciiTheme="minorHAnsi" w:eastAsia="Verdana" w:hAnsiTheme="minorHAnsi" w:cstheme="minorHAnsi"/>
          <w:color w:val="0070C0"/>
        </w:rPr>
        <w:t>și primele imbolduri pentru învățarea pe parcursul vieții. Educația se dirijează de document</w:t>
      </w:r>
      <w:r w:rsidR="00836B62">
        <w:rPr>
          <w:rFonts w:asciiTheme="minorHAnsi" w:eastAsia="Verdana" w:hAnsiTheme="minorHAnsi" w:cstheme="minorHAnsi"/>
          <w:color w:val="0070C0"/>
        </w:rPr>
        <w:t xml:space="preserve">ul curricular </w:t>
      </w:r>
      <w:r>
        <w:rPr>
          <w:rFonts w:asciiTheme="minorHAnsi" w:eastAsia="Verdana" w:hAnsiTheme="minorHAnsi" w:cstheme="minorHAnsi"/>
          <w:color w:val="0070C0"/>
        </w:rPr>
        <w:t>Programul educațional</w:t>
      </w:r>
      <w:r w:rsidR="00836B62">
        <w:rPr>
          <w:rFonts w:asciiTheme="minorHAnsi" w:eastAsia="Verdana" w:hAnsiTheme="minorHAnsi" w:cstheme="minorHAnsi"/>
          <w:color w:val="0070C0"/>
        </w:rPr>
        <w:t xml:space="preserve"> </w:t>
      </w:r>
      <w:r>
        <w:rPr>
          <w:rFonts w:asciiTheme="minorHAnsi" w:eastAsia="Verdana" w:hAnsiTheme="minorHAnsi" w:cstheme="minorHAnsi"/>
          <w:color w:val="0070C0"/>
        </w:rPr>
        <w:t>pentru înv</w:t>
      </w:r>
      <w:r w:rsidR="00836B62">
        <w:rPr>
          <w:rFonts w:asciiTheme="minorHAnsi" w:eastAsia="Verdana" w:hAnsiTheme="minorHAnsi" w:cstheme="minorHAnsi"/>
          <w:color w:val="0070C0"/>
        </w:rPr>
        <w:t>.</w:t>
      </w:r>
      <w:r>
        <w:rPr>
          <w:rFonts w:asciiTheme="minorHAnsi" w:eastAsia="Verdana" w:hAnsiTheme="minorHAnsi" w:cstheme="minorHAnsi"/>
          <w:color w:val="0070C0"/>
        </w:rPr>
        <w:t xml:space="preserve"> preșcolar. </w:t>
      </w:r>
    </w:p>
    <w:p w14:paraId="3F98436B" w14:textId="7B0DCAFA" w:rsidR="0002012F" w:rsidRPr="00A10A51" w:rsidRDefault="00E805B1" w:rsidP="00A10A51">
      <w:pPr>
        <w:spacing w:before="120" w:after="120"/>
        <w:rPr>
          <w:rFonts w:asciiTheme="minorHAnsi" w:eastAsia="Verdana" w:hAnsiTheme="minorHAnsi" w:cstheme="minorHAnsi"/>
          <w:color w:val="0070C0"/>
        </w:rPr>
        <w:sectPr w:rsidR="0002012F" w:rsidRPr="00A10A51" w:rsidSect="0002012F">
          <w:headerReference w:type="default" r:id="rId12"/>
          <w:footerReference w:type="default" r:id="rId13"/>
          <w:headerReference w:type="first" r:id="rId14"/>
          <w:footerReference w:type="first" r:id="rId15"/>
          <w:pgSz w:w="16838" w:h="11906" w:orient="landscape"/>
          <w:pgMar w:top="1134" w:right="567" w:bottom="1134" w:left="567" w:header="284" w:footer="79" w:gutter="0"/>
          <w:pgNumType w:start="2"/>
          <w:cols w:num="2" w:space="708"/>
          <w:titlePg/>
          <w:docGrid w:linePitch="360"/>
        </w:sectPr>
      </w:pPr>
      <w:r>
        <w:rPr>
          <w:rFonts w:asciiTheme="minorHAnsi" w:eastAsia="Verdana" w:hAnsiTheme="minorHAnsi" w:cstheme="minorHAnsi"/>
          <w:color w:val="0070C0"/>
        </w:rPr>
        <w:t>Frecventarea grădinișei este obligatorie pentru copii de la vârsta de 5 ani</w:t>
      </w:r>
      <w:r w:rsidR="00A10A51" w:rsidRPr="00A10A51">
        <w:rPr>
          <w:rFonts w:asciiTheme="minorHAnsi" w:eastAsia="Verdana" w:hAnsiTheme="minorHAnsi" w:cstheme="minorHAnsi"/>
          <w:color w:val="0070C0"/>
        </w:rPr>
        <w:t xml:space="preserve"> (</w:t>
      </w:r>
      <w:r>
        <w:rPr>
          <w:rFonts w:asciiTheme="minorHAnsi" w:eastAsia="Verdana" w:hAnsiTheme="minorHAnsi" w:cstheme="minorHAnsi"/>
          <w:color w:val="0070C0"/>
        </w:rPr>
        <w:t>decisivă e vârsta copilului către</w:t>
      </w:r>
      <w:r w:rsidR="00A10A51" w:rsidRPr="00A10A51">
        <w:rPr>
          <w:rFonts w:asciiTheme="minorHAnsi" w:eastAsia="Verdana" w:hAnsiTheme="minorHAnsi" w:cstheme="minorHAnsi"/>
          <w:color w:val="0070C0"/>
        </w:rPr>
        <w:t> 31.8.</w:t>
      </w:r>
      <w:r>
        <w:rPr>
          <w:rFonts w:asciiTheme="minorHAnsi" w:eastAsia="Verdana" w:hAnsiTheme="minorHAnsi" w:cstheme="minorHAnsi"/>
          <w:color w:val="0070C0"/>
        </w:rPr>
        <w:t xml:space="preserve"> a anului curent</w:t>
      </w:r>
      <w:r w:rsidR="00A10A51" w:rsidRPr="00A10A51">
        <w:rPr>
          <w:rFonts w:asciiTheme="minorHAnsi" w:eastAsia="Verdana" w:hAnsiTheme="minorHAnsi" w:cstheme="minorHAnsi"/>
          <w:color w:val="0070C0"/>
        </w:rPr>
        <w:t xml:space="preserve">). </w:t>
      </w:r>
      <w:r>
        <w:rPr>
          <w:rFonts w:asciiTheme="minorHAnsi" w:eastAsia="Verdana" w:hAnsiTheme="minorHAnsi" w:cstheme="minorHAnsi"/>
          <w:color w:val="0070C0"/>
        </w:rPr>
        <w:t xml:space="preserve">Părinții achită o parte de cheltuieli pentru educație </w:t>
      </w:r>
      <w:r w:rsidR="00A10A51" w:rsidRPr="00A10A51">
        <w:rPr>
          <w:rFonts w:asciiTheme="minorHAnsi" w:eastAsia="Verdana" w:hAnsiTheme="minorHAnsi" w:cstheme="minorHAnsi"/>
          <w:color w:val="0070C0"/>
        </w:rPr>
        <w:t>(</w:t>
      </w:r>
      <w:r>
        <w:rPr>
          <w:rFonts w:asciiTheme="minorHAnsi" w:eastAsia="Verdana" w:hAnsiTheme="minorHAnsi" w:cstheme="minorHAnsi"/>
          <w:color w:val="0070C0"/>
        </w:rPr>
        <w:t>taxa școlară</w:t>
      </w:r>
      <w:r w:rsidR="00A10A51" w:rsidRPr="00A10A51">
        <w:rPr>
          <w:rFonts w:asciiTheme="minorHAnsi" w:eastAsia="Verdana" w:hAnsiTheme="minorHAnsi" w:cstheme="minorHAnsi"/>
          <w:color w:val="0070C0"/>
        </w:rPr>
        <w:t xml:space="preserve">) </w:t>
      </w:r>
      <w:r>
        <w:rPr>
          <w:rFonts w:asciiTheme="minorHAnsi" w:eastAsia="Verdana" w:hAnsiTheme="minorHAnsi" w:cstheme="minorHAnsi"/>
          <w:color w:val="0070C0"/>
        </w:rPr>
        <w:t>și alimentarea</w:t>
      </w:r>
      <w:r w:rsidR="00A10A51" w:rsidRPr="00A10A51">
        <w:rPr>
          <w:rFonts w:asciiTheme="minorHAnsi" w:eastAsia="Verdana" w:hAnsiTheme="minorHAnsi" w:cstheme="minorHAnsi"/>
          <w:color w:val="0070C0"/>
        </w:rPr>
        <w:t xml:space="preserve"> (</w:t>
      </w:r>
      <w:r>
        <w:rPr>
          <w:rFonts w:asciiTheme="minorHAnsi" w:eastAsia="Verdana" w:hAnsiTheme="minorHAnsi" w:cstheme="minorHAnsi"/>
          <w:color w:val="0070C0"/>
        </w:rPr>
        <w:t xml:space="preserve">circa </w:t>
      </w:r>
      <w:r w:rsidR="00A10A51" w:rsidRPr="00A10A51">
        <w:rPr>
          <w:rFonts w:asciiTheme="minorHAnsi" w:eastAsia="Verdana" w:hAnsiTheme="minorHAnsi" w:cstheme="minorHAnsi"/>
          <w:color w:val="0070C0"/>
        </w:rPr>
        <w:t>1000-2000</w:t>
      </w:r>
      <w:r>
        <w:rPr>
          <w:rFonts w:asciiTheme="minorHAnsi" w:eastAsia="Verdana" w:hAnsiTheme="minorHAnsi" w:cstheme="minorHAnsi"/>
          <w:color w:val="0070C0"/>
        </w:rPr>
        <w:t>CZK lunar</w:t>
      </w:r>
      <w:r w:rsidR="00A10A51" w:rsidRPr="00A10A51">
        <w:rPr>
          <w:rFonts w:asciiTheme="minorHAnsi" w:eastAsia="Verdana" w:hAnsiTheme="minorHAnsi" w:cstheme="minorHAnsi"/>
          <w:color w:val="0070C0"/>
        </w:rPr>
        <w:t>).</w:t>
      </w:r>
      <w:r>
        <w:rPr>
          <w:rFonts w:asciiTheme="minorHAnsi" w:eastAsia="Verdana" w:hAnsiTheme="minorHAnsi" w:cstheme="minorHAnsi"/>
          <w:color w:val="0070C0"/>
        </w:rPr>
        <w:t>Copii , care trebuie să frecventeze anul preșcolar obligatoriu, sunt acceptați prioritar și achită doar alimentarea</w:t>
      </w:r>
      <w:r w:rsidR="00A10A51" w:rsidRPr="00A10A51">
        <w:rPr>
          <w:rFonts w:asciiTheme="minorHAnsi" w:eastAsia="Verdana" w:hAnsiTheme="minorHAnsi" w:cstheme="minorHAnsi"/>
          <w:color w:val="0070C0"/>
        </w:rPr>
        <w:t xml:space="preserve"> (</w:t>
      </w:r>
      <w:r>
        <w:rPr>
          <w:rFonts w:asciiTheme="minorHAnsi" w:eastAsia="Verdana" w:hAnsiTheme="minorHAnsi" w:cstheme="minorHAnsi"/>
          <w:color w:val="0070C0"/>
        </w:rPr>
        <w:t>circa</w:t>
      </w:r>
      <w:r w:rsidR="00A10A51" w:rsidRPr="00A10A51">
        <w:rPr>
          <w:rFonts w:asciiTheme="minorHAnsi" w:eastAsia="Verdana" w:hAnsiTheme="minorHAnsi" w:cstheme="minorHAnsi"/>
          <w:color w:val="0070C0"/>
        </w:rPr>
        <w:t xml:space="preserve"> 30-35</w:t>
      </w:r>
      <w:r>
        <w:rPr>
          <w:rFonts w:asciiTheme="minorHAnsi" w:eastAsia="Verdana" w:hAnsiTheme="minorHAnsi" w:cstheme="minorHAnsi"/>
          <w:color w:val="0070C0"/>
        </w:rPr>
        <w:t>CZK pe zi</w:t>
      </w:r>
      <w:r w:rsidR="00A10A51" w:rsidRPr="00A10A51">
        <w:rPr>
          <w:rFonts w:asciiTheme="minorHAnsi" w:eastAsia="Verdana" w:hAnsiTheme="minorHAnsi" w:cstheme="minorHAnsi"/>
          <w:color w:val="0070C0"/>
        </w:rPr>
        <w:t xml:space="preserve">). </w:t>
      </w:r>
      <w:r>
        <w:rPr>
          <w:rFonts w:asciiTheme="minorHAnsi" w:eastAsia="Verdana" w:hAnsiTheme="minorHAnsi" w:cstheme="minorHAnsi"/>
          <w:color w:val="0070C0"/>
        </w:rPr>
        <w:t>Un al criteriu pentru acceptarea copilului este adresa de reședință permanentă în localitatea, care este fondatorul grădiniței. Grădinițele în Cehia pot fi de stat, private sau bisericești</w:t>
      </w:r>
      <w:r w:rsidR="00A10A51" w:rsidRPr="00A10A51">
        <w:rPr>
          <w:rFonts w:asciiTheme="minorHAnsi" w:eastAsia="Verdana" w:hAnsiTheme="minorHAnsi" w:cstheme="minorHAnsi"/>
          <w:color w:val="0070C0"/>
        </w:rPr>
        <w:t xml:space="preserve"> </w:t>
      </w:r>
      <w:r>
        <w:rPr>
          <w:rFonts w:asciiTheme="minorHAnsi" w:eastAsia="Verdana" w:hAnsiTheme="minorHAnsi" w:cstheme="minorHAnsi"/>
          <w:color w:val="0070C0"/>
        </w:rPr>
        <w:t>–</w:t>
      </w:r>
      <w:r w:rsidR="00A10A51" w:rsidRPr="00A10A51">
        <w:rPr>
          <w:rFonts w:asciiTheme="minorHAnsi" w:eastAsia="Verdana" w:hAnsiTheme="minorHAnsi" w:cstheme="minorHAnsi"/>
          <w:color w:val="0070C0"/>
        </w:rPr>
        <w:t xml:space="preserve"> </w:t>
      </w:r>
      <w:r>
        <w:rPr>
          <w:rFonts w:asciiTheme="minorHAnsi" w:eastAsia="Verdana" w:hAnsiTheme="minorHAnsi" w:cstheme="minorHAnsi"/>
          <w:color w:val="0070C0"/>
        </w:rPr>
        <w:t>taxele deci sunt diferite.</w:t>
      </w:r>
    </w:p>
    <w:p w14:paraId="08772428" w14:textId="77777777" w:rsidR="00350389" w:rsidRDefault="00350389" w:rsidP="00A10A51">
      <w:pPr>
        <w:spacing w:before="120" w:after="120"/>
        <w:rPr>
          <w:rFonts w:asciiTheme="minorHAnsi" w:eastAsia="Verdana" w:hAnsiTheme="minorHAnsi" w:cstheme="minorHAnsi"/>
        </w:rPr>
      </w:pPr>
    </w:p>
    <w:p w14:paraId="5177188D" w14:textId="1CEC98A9" w:rsidR="00A10A51" w:rsidRPr="00A10A51" w:rsidRDefault="00A10A51" w:rsidP="00A10A51">
      <w:pPr>
        <w:spacing w:before="120" w:after="120"/>
        <w:rPr>
          <w:rFonts w:asciiTheme="minorHAnsi" w:eastAsia="Verdana" w:hAnsiTheme="minorHAnsi" w:cstheme="minorHAnsi"/>
          <w:b/>
          <w:sz w:val="22"/>
        </w:rPr>
      </w:pPr>
      <w:r w:rsidRPr="00A10A51">
        <w:rPr>
          <w:rFonts w:asciiTheme="minorHAnsi" w:eastAsia="Verdana" w:hAnsiTheme="minorHAnsi" w:cstheme="minorHAnsi"/>
        </w:rPr>
        <w:t>Dítě se přihlašuje k docházce do MŠ na půl dne (odchod po obědě) nebo na</w:t>
      </w:r>
      <w:r w:rsidR="00350389">
        <w:rPr>
          <w:rFonts w:asciiTheme="minorHAnsi" w:eastAsia="Verdana" w:hAnsiTheme="minorHAnsi" w:cstheme="minorHAnsi"/>
        </w:rPr>
        <w:t> </w:t>
      </w:r>
      <w:r w:rsidRPr="00A10A51">
        <w:rPr>
          <w:rFonts w:asciiTheme="minorHAnsi" w:eastAsia="Verdana" w:hAnsiTheme="minorHAnsi" w:cstheme="minorHAnsi"/>
        </w:rPr>
        <w:t>celý den. MŠ zpravidla poskytuje dítěti dopolední svačinu, oběd a</w:t>
      </w:r>
      <w:r w:rsidR="00350389">
        <w:rPr>
          <w:rFonts w:asciiTheme="minorHAnsi" w:eastAsia="Verdana" w:hAnsiTheme="minorHAnsi" w:cstheme="minorHAnsi"/>
        </w:rPr>
        <w:t> </w:t>
      </w:r>
      <w:r w:rsidRPr="00A10A51">
        <w:rPr>
          <w:rFonts w:asciiTheme="minorHAnsi" w:eastAsia="Verdana" w:hAnsiTheme="minorHAnsi" w:cstheme="minorHAnsi"/>
        </w:rPr>
        <w:t>odpolední svačinu včetně nápojů.</w:t>
      </w:r>
    </w:p>
    <w:p w14:paraId="64DF7C4B" w14:textId="77777777" w:rsidR="00201F33" w:rsidRDefault="00A10A51" w:rsidP="00A10A51">
      <w:pPr>
        <w:spacing w:before="120" w:after="120"/>
        <w:rPr>
          <w:rFonts w:asciiTheme="minorHAnsi" w:eastAsia="Verdana" w:hAnsiTheme="minorHAnsi" w:cstheme="minorHAnsi"/>
        </w:rPr>
      </w:pPr>
      <w:r w:rsidRPr="00A10A51">
        <w:rPr>
          <w:rFonts w:asciiTheme="minorHAnsi" w:eastAsia="Verdana" w:hAnsiTheme="minorHAnsi" w:cstheme="minorHAnsi"/>
        </w:rPr>
        <w:t>Školní rok v MŠ začíná 1. září a končí 30. června, v červenci a srpnu mají otevřeno pouze některé MŠ a docházka dětí se</w:t>
      </w:r>
      <w:r w:rsidR="00201F33">
        <w:rPr>
          <w:rFonts w:asciiTheme="minorHAnsi" w:eastAsia="Verdana" w:hAnsiTheme="minorHAnsi" w:cstheme="minorHAnsi"/>
        </w:rPr>
        <w:t xml:space="preserve"> řídí zvláštními pravidly. Děti </w:t>
      </w:r>
    </w:p>
    <w:p w14:paraId="24D580F8" w14:textId="754D39E7" w:rsidR="00201F33" w:rsidRDefault="00201F33" w:rsidP="00A10A51">
      <w:pPr>
        <w:spacing w:before="120" w:after="120"/>
        <w:rPr>
          <w:rFonts w:asciiTheme="minorHAnsi" w:eastAsia="Verdana" w:hAnsiTheme="minorHAnsi" w:cstheme="minorHAnsi"/>
        </w:rPr>
      </w:pPr>
      <w:r w:rsidRPr="00A10A51">
        <w:rPr>
          <w:rFonts w:asciiTheme="minorHAnsi" w:eastAsia="Verdana" w:hAnsiTheme="minorHAnsi" w:cstheme="minorHAnsi"/>
        </w:rPr>
        <w:t>jsou ve třídách umístěny podle věku nebo jsou ve třídách věkově smíšených. Třídu o počtu max. 24-28 dětí vedou 2 učitelky. MŠ je řízena ředitelkou, která je odpovědna za přije</w:t>
      </w:r>
      <w:r>
        <w:rPr>
          <w:rFonts w:asciiTheme="minorHAnsi" w:eastAsia="Verdana" w:hAnsiTheme="minorHAnsi" w:cstheme="minorHAnsi"/>
        </w:rPr>
        <w:t>tí dítěte.</w:t>
      </w:r>
    </w:p>
    <w:p w14:paraId="59DD257B" w14:textId="77777777" w:rsidR="00201F33" w:rsidRDefault="00201F33" w:rsidP="00A10A51">
      <w:pPr>
        <w:spacing w:before="120" w:after="120"/>
        <w:rPr>
          <w:rFonts w:asciiTheme="minorHAnsi" w:eastAsia="Verdana" w:hAnsiTheme="minorHAnsi" w:cstheme="minorHAnsi"/>
        </w:rPr>
      </w:pPr>
    </w:p>
    <w:p w14:paraId="4E245D03" w14:textId="77777777" w:rsidR="00201F33" w:rsidRDefault="00201F33" w:rsidP="00A10A51">
      <w:pPr>
        <w:spacing w:before="120" w:after="120"/>
        <w:rPr>
          <w:rFonts w:asciiTheme="minorHAnsi" w:eastAsia="Verdana" w:hAnsiTheme="minorHAnsi" w:cstheme="minorHAnsi"/>
        </w:rPr>
      </w:pPr>
    </w:p>
    <w:p w14:paraId="3296C4C0" w14:textId="77777777" w:rsidR="00201F33" w:rsidRDefault="00201F33" w:rsidP="00A10A51">
      <w:pPr>
        <w:spacing w:before="120" w:after="120"/>
        <w:rPr>
          <w:rFonts w:asciiTheme="minorHAnsi" w:eastAsia="Verdana" w:hAnsiTheme="minorHAnsi" w:cstheme="minorHAnsi"/>
        </w:rPr>
      </w:pPr>
    </w:p>
    <w:p w14:paraId="27AD88A5" w14:textId="77777777" w:rsidR="00201F33" w:rsidRDefault="00201F33" w:rsidP="00A10A51">
      <w:pPr>
        <w:spacing w:before="120" w:after="120"/>
        <w:rPr>
          <w:rFonts w:asciiTheme="minorHAnsi" w:eastAsia="Verdana" w:hAnsiTheme="minorHAnsi" w:cstheme="minorHAnsi"/>
        </w:rPr>
      </w:pPr>
    </w:p>
    <w:p w14:paraId="4917E301" w14:textId="77777777" w:rsidR="00201F33" w:rsidRDefault="00201F33" w:rsidP="00201F33">
      <w:pPr>
        <w:spacing w:before="120" w:after="120"/>
        <w:rPr>
          <w:rFonts w:asciiTheme="minorHAnsi" w:eastAsia="Verdana" w:hAnsiTheme="minorHAnsi" w:cstheme="minorHAnsi"/>
        </w:rPr>
      </w:pPr>
      <w:r>
        <w:rPr>
          <w:rFonts w:asciiTheme="minorHAnsi" w:eastAsia="Verdana" w:hAnsiTheme="minorHAnsi" w:cstheme="minorHAnsi"/>
        </w:rPr>
        <w:t>¨</w:t>
      </w:r>
    </w:p>
    <w:p w14:paraId="4AFF2E40" w14:textId="77777777" w:rsidR="00201F33" w:rsidRDefault="00201F33" w:rsidP="00201F33">
      <w:pPr>
        <w:spacing w:before="120" w:after="120"/>
        <w:rPr>
          <w:rFonts w:asciiTheme="minorHAnsi" w:eastAsia="Verdana" w:hAnsiTheme="minorHAnsi" w:cstheme="minorHAnsi"/>
        </w:rPr>
      </w:pPr>
    </w:p>
    <w:p w14:paraId="58357D23" w14:textId="77777777" w:rsidR="00201F33" w:rsidRDefault="00201F33" w:rsidP="00201F33">
      <w:pPr>
        <w:spacing w:before="120" w:after="120"/>
        <w:rPr>
          <w:rFonts w:asciiTheme="minorHAnsi" w:eastAsia="Verdana" w:hAnsiTheme="minorHAnsi" w:cstheme="minorHAnsi"/>
        </w:rPr>
      </w:pPr>
    </w:p>
    <w:p w14:paraId="10422A6B" w14:textId="77777777" w:rsidR="00201F33" w:rsidRDefault="00201F33" w:rsidP="00201F33">
      <w:pPr>
        <w:spacing w:before="120" w:after="120"/>
        <w:rPr>
          <w:rFonts w:asciiTheme="minorHAnsi" w:eastAsia="Verdana" w:hAnsiTheme="minorHAnsi" w:cstheme="minorHAnsi"/>
        </w:rPr>
      </w:pPr>
    </w:p>
    <w:p w14:paraId="54A582BA" w14:textId="77777777" w:rsidR="00350389" w:rsidRDefault="00350389" w:rsidP="00201F33">
      <w:pPr>
        <w:spacing w:before="120" w:after="120"/>
        <w:rPr>
          <w:rFonts w:asciiTheme="minorHAnsi" w:eastAsia="Verdana" w:hAnsiTheme="minorHAnsi" w:cstheme="minorHAnsi"/>
          <w:color w:val="0070C0"/>
        </w:rPr>
      </w:pPr>
    </w:p>
    <w:p w14:paraId="5F2FCB85" w14:textId="3DFCC8B1" w:rsidR="00201F33" w:rsidRPr="00201F33" w:rsidRDefault="00705904" w:rsidP="00201F33">
      <w:pPr>
        <w:spacing w:before="120" w:after="120"/>
        <w:rPr>
          <w:rFonts w:asciiTheme="minorHAnsi" w:eastAsia="Verdana" w:hAnsiTheme="minorHAnsi" w:cstheme="minorHAnsi"/>
          <w:b/>
          <w:color w:val="0070C0"/>
          <w:sz w:val="22"/>
        </w:rPr>
      </w:pPr>
      <w:r>
        <w:rPr>
          <w:rFonts w:asciiTheme="minorHAnsi" w:eastAsia="Verdana" w:hAnsiTheme="minorHAnsi" w:cstheme="minorHAnsi"/>
          <w:color w:val="0070C0"/>
        </w:rPr>
        <w:t>Copilul este înscris pentru o jumătate de zi (plecarea după prânz) sau pentru o zi</w:t>
      </w:r>
      <w:r w:rsidR="00201F33" w:rsidRPr="00201F33">
        <w:rPr>
          <w:rFonts w:asciiTheme="minorHAnsi" w:eastAsia="Verdana" w:hAnsiTheme="minorHAnsi" w:cstheme="minorHAnsi"/>
          <w:color w:val="0070C0"/>
        </w:rPr>
        <w:t xml:space="preserve">. </w:t>
      </w:r>
      <w:r>
        <w:rPr>
          <w:rFonts w:asciiTheme="minorHAnsi" w:eastAsia="Verdana" w:hAnsiTheme="minorHAnsi" w:cstheme="minorHAnsi"/>
          <w:color w:val="0070C0"/>
        </w:rPr>
        <w:t xml:space="preserve">Grădinița, de regulă, oferă copilului gustarea de dimineață, prânzul și gustarea de după-amiază, inclusiv băuturi. </w:t>
      </w:r>
    </w:p>
    <w:p w14:paraId="2267E630" w14:textId="2AD3BF44" w:rsidR="00201F33" w:rsidRPr="00201F33" w:rsidRDefault="00705904" w:rsidP="00201F33">
      <w:pPr>
        <w:spacing w:before="120" w:after="120"/>
        <w:rPr>
          <w:rFonts w:asciiTheme="minorHAnsi" w:eastAsia="Verdana" w:hAnsiTheme="minorHAnsi" w:cstheme="minorHAnsi"/>
          <w:color w:val="0070C0"/>
        </w:rPr>
      </w:pPr>
      <w:r>
        <w:rPr>
          <w:rFonts w:asciiTheme="minorHAnsi" w:eastAsia="Verdana" w:hAnsiTheme="minorHAnsi" w:cstheme="minorHAnsi"/>
          <w:color w:val="0070C0"/>
        </w:rPr>
        <w:t xml:space="preserve">Anul școlar începe pe </w:t>
      </w:r>
      <w:r w:rsidR="00201F33" w:rsidRPr="00201F33">
        <w:rPr>
          <w:rFonts w:asciiTheme="minorHAnsi" w:eastAsia="Verdana" w:hAnsiTheme="minorHAnsi" w:cstheme="minorHAnsi"/>
          <w:color w:val="0070C0"/>
        </w:rPr>
        <w:t>1</w:t>
      </w:r>
      <w:r>
        <w:rPr>
          <w:rFonts w:asciiTheme="minorHAnsi" w:eastAsia="Verdana" w:hAnsiTheme="minorHAnsi" w:cstheme="minorHAnsi"/>
          <w:color w:val="0070C0"/>
        </w:rPr>
        <w:t xml:space="preserve"> septembrie și finisează pe 30 iunie, în iulie și august au program doar unele grădinițe și prezența este reglementată de reguli speciale. Copii sunt clasificați după vârstă sau pot fi în grupuri de vârste diferite. Grupa de max. </w:t>
      </w:r>
      <w:r w:rsidR="00201F33" w:rsidRPr="00201F33">
        <w:rPr>
          <w:rFonts w:asciiTheme="minorHAnsi" w:eastAsia="Verdana" w:hAnsiTheme="minorHAnsi" w:cstheme="minorHAnsi"/>
          <w:color w:val="0070C0"/>
        </w:rPr>
        <w:t xml:space="preserve">24-28 </w:t>
      </w:r>
      <w:r>
        <w:rPr>
          <w:rFonts w:asciiTheme="minorHAnsi" w:eastAsia="Verdana" w:hAnsiTheme="minorHAnsi" w:cstheme="minorHAnsi"/>
          <w:color w:val="0070C0"/>
        </w:rPr>
        <w:t xml:space="preserve">de copii este condusă de 2 educatoare. Grădinița este condusă de director, care este responsabil de acceptarea copilului. </w:t>
      </w:r>
    </w:p>
    <w:p w14:paraId="663E4A0A" w14:textId="77777777" w:rsidR="00201F33" w:rsidRDefault="00201F33" w:rsidP="00A10A51">
      <w:pPr>
        <w:spacing w:before="120" w:after="120"/>
        <w:rPr>
          <w:rFonts w:asciiTheme="minorHAnsi" w:eastAsia="Verdana" w:hAnsiTheme="minorHAnsi" w:cstheme="minorHAnsi"/>
        </w:rPr>
      </w:pPr>
    </w:p>
    <w:p w14:paraId="2D3EDA60" w14:textId="77777777" w:rsidR="00201F33" w:rsidRDefault="00201F33" w:rsidP="00A10A51">
      <w:pPr>
        <w:spacing w:before="120" w:after="120"/>
        <w:rPr>
          <w:rFonts w:asciiTheme="minorHAnsi" w:eastAsia="Verdana" w:hAnsiTheme="minorHAnsi" w:cstheme="minorHAnsi"/>
        </w:rPr>
      </w:pPr>
    </w:p>
    <w:p w14:paraId="578D5169" w14:textId="77777777" w:rsidR="00201F33" w:rsidRDefault="00201F33" w:rsidP="00A10A51">
      <w:pPr>
        <w:spacing w:before="120" w:after="120"/>
        <w:rPr>
          <w:rFonts w:asciiTheme="minorHAnsi" w:eastAsia="Verdana" w:hAnsiTheme="minorHAnsi" w:cstheme="minorHAnsi"/>
        </w:rPr>
      </w:pPr>
    </w:p>
    <w:p w14:paraId="6BFE74D2" w14:textId="77777777" w:rsidR="00201F33" w:rsidRDefault="00201F33" w:rsidP="00A10A51">
      <w:pPr>
        <w:spacing w:before="120" w:after="120"/>
        <w:rPr>
          <w:rFonts w:asciiTheme="minorHAnsi" w:eastAsia="Verdana" w:hAnsiTheme="minorHAnsi" w:cstheme="minorHAnsi"/>
        </w:rPr>
      </w:pPr>
    </w:p>
    <w:p w14:paraId="652BFF7B" w14:textId="77777777" w:rsidR="00201F33" w:rsidRDefault="00201F33" w:rsidP="00A10A51">
      <w:pPr>
        <w:spacing w:before="120" w:after="120"/>
        <w:rPr>
          <w:rFonts w:asciiTheme="minorHAnsi" w:eastAsia="Verdana" w:hAnsiTheme="minorHAnsi" w:cstheme="minorHAnsi"/>
        </w:rPr>
      </w:pPr>
    </w:p>
    <w:p w14:paraId="74301365" w14:textId="77777777" w:rsidR="00201F33" w:rsidRDefault="00201F33" w:rsidP="00A10A51">
      <w:pPr>
        <w:spacing w:before="120" w:after="120"/>
        <w:rPr>
          <w:rFonts w:asciiTheme="minorHAnsi" w:eastAsia="Verdana" w:hAnsiTheme="minorHAnsi" w:cstheme="minorHAnsi"/>
        </w:rPr>
      </w:pPr>
    </w:p>
    <w:p w14:paraId="6D7133DC" w14:textId="77777777" w:rsidR="00201F33" w:rsidRDefault="00201F33" w:rsidP="00A10A51">
      <w:pPr>
        <w:spacing w:before="120" w:after="120"/>
        <w:rPr>
          <w:rFonts w:asciiTheme="minorHAnsi" w:eastAsia="Verdana" w:hAnsiTheme="minorHAnsi" w:cstheme="minorHAnsi"/>
        </w:rPr>
      </w:pPr>
    </w:p>
    <w:p w14:paraId="4E17C7CF" w14:textId="063517D0" w:rsidR="00A10A51" w:rsidRPr="00A10A51" w:rsidRDefault="00A10A51" w:rsidP="00A10A51">
      <w:pPr>
        <w:spacing w:before="120" w:after="120"/>
        <w:rPr>
          <w:rFonts w:asciiTheme="minorHAnsi" w:eastAsia="Verdana" w:hAnsiTheme="minorHAnsi" w:cstheme="minorHAnsi"/>
        </w:rPr>
        <w:sectPr w:rsidR="00A10A51" w:rsidRPr="00A10A51" w:rsidSect="00A10A51">
          <w:headerReference w:type="default" r:id="rId16"/>
          <w:footerReference w:type="default" r:id="rId17"/>
          <w:type w:val="continuous"/>
          <w:pgSz w:w="16838" w:h="11906" w:orient="landscape"/>
          <w:pgMar w:top="1134" w:right="567" w:bottom="1134" w:left="567" w:header="284" w:footer="283" w:gutter="0"/>
          <w:pgNumType w:start="2"/>
          <w:cols w:num="2" w:space="708"/>
          <w:docGrid w:linePitch="360"/>
        </w:sectPr>
      </w:pPr>
    </w:p>
    <w:p w14:paraId="6755488E" w14:textId="165CDCD7" w:rsidR="00194EA1" w:rsidRPr="00A10A51" w:rsidRDefault="00194EA1" w:rsidP="00A10A51">
      <w:pPr>
        <w:spacing w:before="120" w:after="120"/>
        <w:rPr>
          <w:rFonts w:asciiTheme="minorHAnsi" w:eastAsia="Verdana" w:hAnsiTheme="minorHAnsi" w:cstheme="minorHAnsi"/>
        </w:rPr>
      </w:pPr>
    </w:p>
    <w:sectPr w:rsidR="00194EA1" w:rsidRPr="00A10A51" w:rsidSect="00A10A51">
      <w:type w:val="continuous"/>
      <w:pgSz w:w="16838" w:h="11906" w:orient="landscape"/>
      <w:pgMar w:top="1134" w:right="567" w:bottom="1134" w:left="567" w:header="284" w:footer="283" w:gutter="0"/>
      <w:pgNumType w:start="2"/>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066B41" w16cid:durableId="1FB95F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F7CFC" w14:textId="77777777" w:rsidR="00724C6D" w:rsidRDefault="00724C6D">
      <w:pPr>
        <w:spacing w:after="0" w:line="240" w:lineRule="auto"/>
      </w:pPr>
      <w:r>
        <w:separator/>
      </w:r>
    </w:p>
  </w:endnote>
  <w:endnote w:type="continuationSeparator" w:id="0">
    <w:p w14:paraId="6ECB427D" w14:textId="77777777" w:rsidR="00724C6D" w:rsidRDefault="0072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2F92F" w14:textId="77777777" w:rsidR="00C86BB2" w:rsidRPr="00962592" w:rsidRDefault="00C86BB2"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2F0DDD35" w14:textId="77777777" w:rsidR="00C86BB2" w:rsidRPr="002A4349" w:rsidRDefault="00C86BB2"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4A803A17" wp14:editId="34416CCE">
          <wp:extent cx="704850" cy="476250"/>
          <wp:effectExtent l="0" t="0" r="0" b="0"/>
          <wp:docPr id="20"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CF7FC9E" wp14:editId="60A314CF">
          <wp:extent cx="1676400" cy="476250"/>
          <wp:effectExtent l="0" t="0" r="0" b="0"/>
          <wp:docPr id="21"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25C6079" wp14:editId="1CEDD834">
          <wp:extent cx="981075" cy="466725"/>
          <wp:effectExtent l="0" t="0" r="9525" b="9525"/>
          <wp:docPr id="22"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02F2C34E"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5D797" w14:textId="77777777" w:rsidR="00BD496D" w:rsidRPr="00962592" w:rsidRDefault="00BD496D"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7E8B2A7B" w14:textId="77777777" w:rsidR="00350389" w:rsidRDefault="00350389" w:rsidP="00350389">
    <w:pPr>
      <w:pStyle w:val="Zpat"/>
      <w:tabs>
        <w:tab w:val="clear" w:pos="4536"/>
        <w:tab w:val="clear" w:pos="9072"/>
        <w:tab w:val="center" w:pos="1134"/>
        <w:tab w:val="right" w:pos="3119"/>
        <w:tab w:val="left" w:pos="3600"/>
        <w:tab w:val="center" w:pos="4819"/>
        <w:tab w:val="right" w:pos="9638"/>
        <w:tab w:val="left" w:pos="11482"/>
      </w:tabs>
      <w:jc w:val="left"/>
      <w:rPr>
        <w:i/>
        <w:sz w:val="20"/>
      </w:rPr>
    </w:pPr>
    <w:r>
      <w:rPr>
        <w:i/>
        <w:sz w:val="20"/>
      </w:rPr>
      <w:tab/>
    </w:r>
    <w:r>
      <w:rPr>
        <w:i/>
        <w:sz w:val="20"/>
      </w:rPr>
      <w:tab/>
    </w:r>
    <w:r>
      <w:rPr>
        <w:i/>
        <w:sz w:val="20"/>
      </w:rPr>
      <w:tab/>
    </w:r>
    <w:r>
      <w:rPr>
        <w:i/>
        <w:sz w:val="20"/>
      </w:rPr>
      <w:tab/>
    </w:r>
    <w:r>
      <w:rPr>
        <w:i/>
        <w:sz w:val="20"/>
      </w:rPr>
      <w:tab/>
    </w:r>
    <w:r>
      <w:rPr>
        <w:noProof/>
        <w:lang w:eastAsia="cs-CZ"/>
      </w:rPr>
      <w:drawing>
        <wp:inline distT="0" distB="0" distL="0" distR="0" wp14:anchorId="0D36FD2E" wp14:editId="119B8F34">
          <wp:extent cx="704850" cy="476250"/>
          <wp:effectExtent l="0" t="0" r="0" b="0"/>
          <wp:docPr id="9"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17D167EE" wp14:editId="578CC51D">
          <wp:extent cx="1676400" cy="476250"/>
          <wp:effectExtent l="0" t="0" r="0" b="0"/>
          <wp:docPr id="10"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E72D774" wp14:editId="26C068E4">
          <wp:extent cx="981075" cy="466725"/>
          <wp:effectExtent l="0" t="0" r="9525" b="9525"/>
          <wp:docPr id="11"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Pr>
        <w:i/>
        <w:sz w:val="20"/>
      </w:rPr>
      <w:tab/>
    </w:r>
    <w:r>
      <w:rPr>
        <w:i/>
        <w:sz w:val="20"/>
      </w:rPr>
      <w:tab/>
    </w:r>
    <w:r>
      <w:rPr>
        <w:i/>
        <w:sz w:val="20"/>
      </w:rPr>
      <w:tab/>
    </w:r>
    <w:r>
      <w:rPr>
        <w:i/>
        <w:sz w:val="20"/>
      </w:rPr>
      <w:tab/>
    </w:r>
    <w:r>
      <w:rPr>
        <w:i/>
        <w:sz w:val="20"/>
      </w:rPr>
      <w:tab/>
    </w:r>
    <w:r>
      <w:rPr>
        <w:i/>
        <w:sz w:val="20"/>
      </w:rPr>
      <w:tab/>
    </w:r>
  </w:p>
  <w:p w14:paraId="3BE9A3A0" w14:textId="77777777" w:rsidR="00350389" w:rsidRDefault="00350389" w:rsidP="00350389">
    <w:pPr>
      <w:pStyle w:val="Zpat"/>
      <w:tabs>
        <w:tab w:val="clear" w:pos="4536"/>
        <w:tab w:val="clear" w:pos="9072"/>
        <w:tab w:val="center" w:pos="1134"/>
        <w:tab w:val="right" w:pos="3119"/>
        <w:tab w:val="left" w:pos="3600"/>
        <w:tab w:val="center" w:pos="4819"/>
        <w:tab w:val="right" w:pos="9638"/>
        <w:tab w:val="left" w:pos="11482"/>
      </w:tabs>
      <w:jc w:val="right"/>
      <w:rPr>
        <w:rFonts w:asciiTheme="minorHAnsi" w:hAnsiTheme="minorHAnsi" w:cstheme="minorHAnsi"/>
        <w:szCs w:val="24"/>
      </w:rPr>
    </w:pPr>
    <w:r w:rsidRPr="006D003E">
      <w:rPr>
        <w:rFonts w:asciiTheme="minorHAnsi" w:hAnsiTheme="minorHAnsi" w:cstheme="minorHAnsi"/>
        <w:szCs w:val="24"/>
      </w:rPr>
      <w:t>1</w:t>
    </w:r>
  </w:p>
  <w:p w14:paraId="51F7F1A7" w14:textId="77777777" w:rsidR="00BD496D" w:rsidRDefault="00BD496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367912"/>
      <w:docPartObj>
        <w:docPartGallery w:val="Page Numbers (Bottom of Page)"/>
        <w:docPartUnique/>
      </w:docPartObj>
    </w:sdtPr>
    <w:sdtEndPr/>
    <w:sdtContent>
      <w:p w14:paraId="0EB546F9" w14:textId="66F31F4A" w:rsidR="0093783D" w:rsidRDefault="0093783D">
        <w:pPr>
          <w:pStyle w:val="Zpat"/>
          <w:jc w:val="right"/>
        </w:pPr>
        <w:r>
          <w:fldChar w:fldCharType="begin"/>
        </w:r>
        <w:r>
          <w:instrText>PAGE   \* MERGEFORMAT</w:instrText>
        </w:r>
        <w:r>
          <w:fldChar w:fldCharType="separate"/>
        </w:r>
        <w:r w:rsidR="007D5839">
          <w:rPr>
            <w:noProof/>
          </w:rPr>
          <w:t>2</w:t>
        </w:r>
        <w:r>
          <w:fldChar w:fldCharType="end"/>
        </w:r>
      </w:p>
    </w:sdtContent>
  </w:sdt>
  <w:p w14:paraId="680A4E5D"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C0F83" w14:textId="77777777" w:rsidR="00724C6D" w:rsidRDefault="00724C6D">
      <w:pPr>
        <w:spacing w:after="0" w:line="240" w:lineRule="auto"/>
      </w:pPr>
      <w:r>
        <w:separator/>
      </w:r>
    </w:p>
  </w:footnote>
  <w:footnote w:type="continuationSeparator" w:id="0">
    <w:p w14:paraId="27CB90C5" w14:textId="77777777" w:rsidR="00724C6D" w:rsidRDefault="00724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2789C" w14:textId="7777777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65408" behindDoc="0" locked="0" layoutInCell="1" allowOverlap="1" wp14:anchorId="6FB64427" wp14:editId="3CC9E265">
          <wp:simplePos x="0" y="0"/>
          <wp:positionH relativeFrom="column">
            <wp:posOffset>3737610</wp:posOffset>
          </wp:positionH>
          <wp:positionV relativeFrom="paragraph">
            <wp:posOffset>172085</wp:posOffset>
          </wp:positionV>
          <wp:extent cx="2379345" cy="326390"/>
          <wp:effectExtent l="0" t="0" r="1905" b="0"/>
          <wp:wrapSquare wrapText="bothSides"/>
          <wp:docPr id="18" name="Obrázek 18"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644837E0" wp14:editId="41947859">
          <wp:extent cx="961478" cy="493200"/>
          <wp:effectExtent l="0" t="0" r="0" b="2540"/>
          <wp:docPr id="19" name="Obrázek 19"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527571CD" w14:textId="77777777" w:rsidR="008B15C8" w:rsidRDefault="008B15C8" w:rsidP="00C86BB2">
    <w:pPr>
      <w:pStyle w:val="Zhlav"/>
      <w:tabs>
        <w:tab w:val="clear" w:pos="4536"/>
        <w:tab w:val="clear" w:pos="9072"/>
        <w:tab w:val="left" w:pos="7815"/>
      </w:tabs>
      <w:rPr>
        <w:rFonts w:asciiTheme="minorHAnsi" w:hAnsiTheme="minorHAnsi" w:cstheme="minorHAnsi"/>
      </w:rPr>
    </w:pPr>
  </w:p>
  <w:p w14:paraId="08FD4AF9" w14:textId="46A8BD5D" w:rsidR="00C86BB2" w:rsidRPr="00E47461" w:rsidRDefault="008B15C8"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00C86BB2" w:rsidRPr="00E47461">
      <w:rPr>
        <w:rFonts w:asciiTheme="minorHAnsi" w:hAnsiTheme="minorHAnsi" w:cstheme="minorHAnsi"/>
      </w:rPr>
      <w:t xml:space="preserve">                                     </w:t>
    </w:r>
  </w:p>
  <w:p w14:paraId="5C2B6CCA" w14:textId="77777777"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29679" w14:textId="77777777" w:rsidR="00BD496D" w:rsidRDefault="00BD496D" w:rsidP="00BD496D">
    <w:pPr>
      <w:spacing w:after="0" w:line="240" w:lineRule="auto"/>
      <w:rPr>
        <w:i/>
        <w:sz w:val="16"/>
        <w:szCs w:val="16"/>
      </w:rPr>
    </w:pPr>
    <w:r>
      <w:rPr>
        <w:noProof/>
        <w:lang w:eastAsia="cs-CZ"/>
      </w:rPr>
      <w:drawing>
        <wp:anchor distT="0" distB="0" distL="114300" distR="114300" simplePos="0" relativeHeight="251671552" behindDoc="0" locked="0" layoutInCell="1" allowOverlap="1" wp14:anchorId="00173FF7" wp14:editId="79E805F1">
          <wp:simplePos x="0" y="0"/>
          <wp:positionH relativeFrom="margin">
            <wp:align>right</wp:align>
          </wp:positionH>
          <wp:positionV relativeFrom="paragraph">
            <wp:posOffset>172085</wp:posOffset>
          </wp:positionV>
          <wp:extent cx="2024380" cy="277495"/>
          <wp:effectExtent l="0" t="0" r="0" b="8255"/>
          <wp:wrapSquare wrapText="bothSides"/>
          <wp:docPr id="23" name="Obrázek 23"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478B2E5" wp14:editId="773C8986">
          <wp:extent cx="961478" cy="493200"/>
          <wp:effectExtent l="0" t="0" r="0" b="2540"/>
          <wp:docPr id="24" name="Obrázek 24"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6C68182C" w14:textId="77777777" w:rsidR="00BD496D" w:rsidRDefault="00BD496D" w:rsidP="00BD496D">
    <w:pPr>
      <w:spacing w:after="0" w:line="240" w:lineRule="auto"/>
      <w:rPr>
        <w:i/>
        <w:sz w:val="16"/>
        <w:szCs w:val="16"/>
      </w:rPr>
    </w:pPr>
  </w:p>
  <w:p w14:paraId="09B7C87E" w14:textId="2DB74F40"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D1ABFEB" w14:textId="0CB642FB" w:rsidR="00BD496D" w:rsidRDefault="00BD496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27F73" w14:textId="77777777" w:rsidR="00350389" w:rsidRDefault="00350389" w:rsidP="00350389">
    <w:pPr>
      <w:spacing w:after="0" w:line="240" w:lineRule="auto"/>
      <w:rPr>
        <w:i/>
        <w:sz w:val="16"/>
        <w:szCs w:val="16"/>
      </w:rPr>
    </w:pPr>
    <w:r>
      <w:rPr>
        <w:noProof/>
        <w:lang w:eastAsia="cs-CZ"/>
      </w:rPr>
      <w:drawing>
        <wp:anchor distT="0" distB="0" distL="114300" distR="114300" simplePos="0" relativeHeight="251673600" behindDoc="0" locked="0" layoutInCell="1" allowOverlap="1" wp14:anchorId="13D00897" wp14:editId="2EE649F8">
          <wp:simplePos x="0" y="0"/>
          <wp:positionH relativeFrom="margin">
            <wp:align>right</wp:align>
          </wp:positionH>
          <wp:positionV relativeFrom="paragraph">
            <wp:posOffset>172085</wp:posOffset>
          </wp:positionV>
          <wp:extent cx="2024380" cy="277495"/>
          <wp:effectExtent l="0" t="0" r="0" b="8255"/>
          <wp:wrapSquare wrapText="bothSides"/>
          <wp:docPr id="1" name="Obrázek 1"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53B08303" wp14:editId="359EF4B7">
          <wp:extent cx="961478" cy="493200"/>
          <wp:effectExtent l="0" t="0" r="0" b="2540"/>
          <wp:docPr id="2" name="Obrázek 2"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49E4B370" w14:textId="77777777" w:rsidR="000F1B8E" w:rsidRPr="00962592" w:rsidRDefault="000F1B8E"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5C79F6"/>
    <w:multiLevelType w:val="hybridMultilevel"/>
    <w:tmpl w:val="49C0C1F6"/>
    <w:lvl w:ilvl="0" w:tplc="81341F5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4E5BDF"/>
    <w:multiLevelType w:val="hybridMultilevel"/>
    <w:tmpl w:val="9E221FF4"/>
    <w:lvl w:ilvl="0" w:tplc="314222CA">
      <w:start w:val="1"/>
      <w:numFmt w:val="bullet"/>
      <w:lvlText w:val=""/>
      <w:lvlJc w:val="left"/>
      <w:pPr>
        <w:ind w:left="720" w:hanging="360"/>
      </w:pPr>
      <w:rPr>
        <w:rFonts w:ascii="Wingdings" w:hAnsi="Wingdings" w:hint="default"/>
      </w:rPr>
    </w:lvl>
    <w:lvl w:ilvl="1" w:tplc="00784D98">
      <w:start w:val="1"/>
      <w:numFmt w:val="bullet"/>
      <w:lvlText w:val="o"/>
      <w:lvlJc w:val="left"/>
      <w:pPr>
        <w:ind w:left="1440" w:hanging="360"/>
      </w:pPr>
      <w:rPr>
        <w:rFonts w:ascii="Courier New" w:hAnsi="Courier New" w:hint="default"/>
      </w:rPr>
    </w:lvl>
    <w:lvl w:ilvl="2" w:tplc="2ACA15F4">
      <w:start w:val="1"/>
      <w:numFmt w:val="bullet"/>
      <w:lvlText w:val=""/>
      <w:lvlJc w:val="left"/>
      <w:pPr>
        <w:ind w:left="2160" w:hanging="360"/>
      </w:pPr>
      <w:rPr>
        <w:rFonts w:ascii="Wingdings" w:hAnsi="Wingdings" w:hint="default"/>
      </w:rPr>
    </w:lvl>
    <w:lvl w:ilvl="3" w:tplc="A2C2780E">
      <w:start w:val="1"/>
      <w:numFmt w:val="bullet"/>
      <w:lvlText w:val=""/>
      <w:lvlJc w:val="left"/>
      <w:pPr>
        <w:ind w:left="2880" w:hanging="360"/>
      </w:pPr>
      <w:rPr>
        <w:rFonts w:ascii="Symbol" w:hAnsi="Symbol" w:hint="default"/>
      </w:rPr>
    </w:lvl>
    <w:lvl w:ilvl="4" w:tplc="3F224624">
      <w:start w:val="1"/>
      <w:numFmt w:val="bullet"/>
      <w:lvlText w:val="o"/>
      <w:lvlJc w:val="left"/>
      <w:pPr>
        <w:ind w:left="3600" w:hanging="360"/>
      </w:pPr>
      <w:rPr>
        <w:rFonts w:ascii="Courier New" w:hAnsi="Courier New" w:hint="default"/>
      </w:rPr>
    </w:lvl>
    <w:lvl w:ilvl="5" w:tplc="555E7726">
      <w:start w:val="1"/>
      <w:numFmt w:val="bullet"/>
      <w:lvlText w:val=""/>
      <w:lvlJc w:val="left"/>
      <w:pPr>
        <w:ind w:left="4320" w:hanging="360"/>
      </w:pPr>
      <w:rPr>
        <w:rFonts w:ascii="Wingdings" w:hAnsi="Wingdings" w:hint="default"/>
      </w:rPr>
    </w:lvl>
    <w:lvl w:ilvl="6" w:tplc="7C983B9C">
      <w:start w:val="1"/>
      <w:numFmt w:val="bullet"/>
      <w:lvlText w:val=""/>
      <w:lvlJc w:val="left"/>
      <w:pPr>
        <w:ind w:left="5040" w:hanging="360"/>
      </w:pPr>
      <w:rPr>
        <w:rFonts w:ascii="Symbol" w:hAnsi="Symbol" w:hint="default"/>
      </w:rPr>
    </w:lvl>
    <w:lvl w:ilvl="7" w:tplc="4D24CFAC">
      <w:start w:val="1"/>
      <w:numFmt w:val="bullet"/>
      <w:lvlText w:val="o"/>
      <w:lvlJc w:val="left"/>
      <w:pPr>
        <w:ind w:left="5760" w:hanging="360"/>
      </w:pPr>
      <w:rPr>
        <w:rFonts w:ascii="Courier New" w:hAnsi="Courier New" w:hint="default"/>
      </w:rPr>
    </w:lvl>
    <w:lvl w:ilvl="8" w:tplc="771ABA40">
      <w:start w:val="1"/>
      <w:numFmt w:val="bullet"/>
      <w:lvlText w:val=""/>
      <w:lvlJc w:val="left"/>
      <w:pPr>
        <w:ind w:left="6480" w:hanging="360"/>
      </w:pPr>
      <w:rPr>
        <w:rFonts w:ascii="Wingdings" w:hAnsi="Wingdings" w:hint="default"/>
      </w:rPr>
    </w:lvl>
  </w:abstractNum>
  <w:abstractNum w:abstractNumId="14" w15:restartNumberingAfterBreak="0">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D6B2DD7"/>
    <w:multiLevelType w:val="hybridMultilevel"/>
    <w:tmpl w:val="7D768E1A"/>
    <w:lvl w:ilvl="0" w:tplc="DCB0D442">
      <w:start w:val="1"/>
      <w:numFmt w:val="bullet"/>
      <w:lvlText w:val=""/>
      <w:lvlJc w:val="left"/>
      <w:pPr>
        <w:ind w:left="720" w:hanging="360"/>
      </w:pPr>
      <w:rPr>
        <w:rFonts w:ascii="Wingdings" w:hAnsi="Wingdings" w:hint="default"/>
      </w:rPr>
    </w:lvl>
    <w:lvl w:ilvl="1" w:tplc="6FF0E1D6">
      <w:start w:val="1"/>
      <w:numFmt w:val="bullet"/>
      <w:lvlText w:val="o"/>
      <w:lvlJc w:val="left"/>
      <w:pPr>
        <w:ind w:left="1440" w:hanging="360"/>
      </w:pPr>
      <w:rPr>
        <w:rFonts w:ascii="Courier New" w:hAnsi="Courier New" w:hint="default"/>
      </w:rPr>
    </w:lvl>
    <w:lvl w:ilvl="2" w:tplc="7346C568">
      <w:start w:val="1"/>
      <w:numFmt w:val="bullet"/>
      <w:lvlText w:val=""/>
      <w:lvlJc w:val="left"/>
      <w:pPr>
        <w:ind w:left="2160" w:hanging="360"/>
      </w:pPr>
      <w:rPr>
        <w:rFonts w:ascii="Wingdings" w:hAnsi="Wingdings" w:hint="default"/>
      </w:rPr>
    </w:lvl>
    <w:lvl w:ilvl="3" w:tplc="E1FAB13E">
      <w:start w:val="1"/>
      <w:numFmt w:val="bullet"/>
      <w:lvlText w:val=""/>
      <w:lvlJc w:val="left"/>
      <w:pPr>
        <w:ind w:left="2880" w:hanging="360"/>
      </w:pPr>
      <w:rPr>
        <w:rFonts w:ascii="Symbol" w:hAnsi="Symbol" w:hint="default"/>
      </w:rPr>
    </w:lvl>
    <w:lvl w:ilvl="4" w:tplc="0D166726">
      <w:start w:val="1"/>
      <w:numFmt w:val="bullet"/>
      <w:lvlText w:val="o"/>
      <w:lvlJc w:val="left"/>
      <w:pPr>
        <w:ind w:left="3600" w:hanging="360"/>
      </w:pPr>
      <w:rPr>
        <w:rFonts w:ascii="Courier New" w:hAnsi="Courier New" w:hint="default"/>
      </w:rPr>
    </w:lvl>
    <w:lvl w:ilvl="5" w:tplc="9504591E">
      <w:start w:val="1"/>
      <w:numFmt w:val="bullet"/>
      <w:lvlText w:val=""/>
      <w:lvlJc w:val="left"/>
      <w:pPr>
        <w:ind w:left="4320" w:hanging="360"/>
      </w:pPr>
      <w:rPr>
        <w:rFonts w:ascii="Wingdings" w:hAnsi="Wingdings" w:hint="default"/>
      </w:rPr>
    </w:lvl>
    <w:lvl w:ilvl="6" w:tplc="6152FA6C">
      <w:start w:val="1"/>
      <w:numFmt w:val="bullet"/>
      <w:lvlText w:val=""/>
      <w:lvlJc w:val="left"/>
      <w:pPr>
        <w:ind w:left="5040" w:hanging="360"/>
      </w:pPr>
      <w:rPr>
        <w:rFonts w:ascii="Symbol" w:hAnsi="Symbol" w:hint="default"/>
      </w:rPr>
    </w:lvl>
    <w:lvl w:ilvl="7" w:tplc="BFCED632">
      <w:start w:val="1"/>
      <w:numFmt w:val="bullet"/>
      <w:lvlText w:val="o"/>
      <w:lvlJc w:val="left"/>
      <w:pPr>
        <w:ind w:left="5760" w:hanging="360"/>
      </w:pPr>
      <w:rPr>
        <w:rFonts w:ascii="Courier New" w:hAnsi="Courier New" w:hint="default"/>
      </w:rPr>
    </w:lvl>
    <w:lvl w:ilvl="8" w:tplc="E9ACF19C">
      <w:start w:val="1"/>
      <w:numFmt w:val="bullet"/>
      <w:lvlText w:val=""/>
      <w:lvlJc w:val="left"/>
      <w:pPr>
        <w:ind w:left="6480" w:hanging="360"/>
      </w:pPr>
      <w:rPr>
        <w:rFonts w:ascii="Wingdings" w:hAnsi="Wingdings" w:hint="default"/>
      </w:rPr>
    </w:lvl>
  </w:abstractNum>
  <w:abstractNum w:abstractNumId="16" w15:restartNumberingAfterBreak="0">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2D9460B"/>
    <w:multiLevelType w:val="hybridMultilevel"/>
    <w:tmpl w:val="9A60E746"/>
    <w:lvl w:ilvl="0" w:tplc="04050017">
      <w:start w:val="1"/>
      <w:numFmt w:val="lowerLetter"/>
      <w:lvlText w:val="%1)"/>
      <w:lvlJc w:val="left"/>
      <w:pPr>
        <w:ind w:left="720" w:hanging="360"/>
      </w:pPr>
      <w:rPr>
        <w:rFonts w:hint="default"/>
      </w:rPr>
    </w:lvl>
    <w:lvl w:ilvl="1" w:tplc="AA68EF2E">
      <w:start w:val="1"/>
      <w:numFmt w:val="bullet"/>
      <w:lvlText w:val="o"/>
      <w:lvlJc w:val="left"/>
      <w:pPr>
        <w:ind w:left="1440" w:hanging="360"/>
      </w:pPr>
      <w:rPr>
        <w:rFonts w:ascii="Courier New" w:hAnsi="Courier New" w:hint="default"/>
      </w:rPr>
    </w:lvl>
    <w:lvl w:ilvl="2" w:tplc="44166626">
      <w:start w:val="1"/>
      <w:numFmt w:val="bullet"/>
      <w:lvlText w:val=""/>
      <w:lvlJc w:val="left"/>
      <w:pPr>
        <w:ind w:left="2160" w:hanging="360"/>
      </w:pPr>
      <w:rPr>
        <w:rFonts w:ascii="Wingdings" w:hAnsi="Wingdings" w:hint="default"/>
      </w:rPr>
    </w:lvl>
    <w:lvl w:ilvl="3" w:tplc="1B968C7A">
      <w:start w:val="1"/>
      <w:numFmt w:val="bullet"/>
      <w:lvlText w:val=""/>
      <w:lvlJc w:val="left"/>
      <w:pPr>
        <w:ind w:left="2880" w:hanging="360"/>
      </w:pPr>
      <w:rPr>
        <w:rFonts w:ascii="Symbol" w:hAnsi="Symbol" w:hint="default"/>
      </w:rPr>
    </w:lvl>
    <w:lvl w:ilvl="4" w:tplc="CB6223B2">
      <w:start w:val="1"/>
      <w:numFmt w:val="bullet"/>
      <w:lvlText w:val="o"/>
      <w:lvlJc w:val="left"/>
      <w:pPr>
        <w:ind w:left="3600" w:hanging="360"/>
      </w:pPr>
      <w:rPr>
        <w:rFonts w:ascii="Courier New" w:hAnsi="Courier New" w:hint="default"/>
      </w:rPr>
    </w:lvl>
    <w:lvl w:ilvl="5" w:tplc="E3C6C3FA">
      <w:start w:val="1"/>
      <w:numFmt w:val="bullet"/>
      <w:lvlText w:val=""/>
      <w:lvlJc w:val="left"/>
      <w:pPr>
        <w:ind w:left="4320" w:hanging="360"/>
      </w:pPr>
      <w:rPr>
        <w:rFonts w:ascii="Wingdings" w:hAnsi="Wingdings" w:hint="default"/>
      </w:rPr>
    </w:lvl>
    <w:lvl w:ilvl="6" w:tplc="CEFAD18A">
      <w:start w:val="1"/>
      <w:numFmt w:val="bullet"/>
      <w:lvlText w:val=""/>
      <w:lvlJc w:val="left"/>
      <w:pPr>
        <w:ind w:left="5040" w:hanging="360"/>
      </w:pPr>
      <w:rPr>
        <w:rFonts w:ascii="Symbol" w:hAnsi="Symbol" w:hint="default"/>
      </w:rPr>
    </w:lvl>
    <w:lvl w:ilvl="7" w:tplc="1AACA010">
      <w:start w:val="1"/>
      <w:numFmt w:val="bullet"/>
      <w:lvlText w:val="o"/>
      <w:lvlJc w:val="left"/>
      <w:pPr>
        <w:ind w:left="5760" w:hanging="360"/>
      </w:pPr>
      <w:rPr>
        <w:rFonts w:ascii="Courier New" w:hAnsi="Courier New" w:hint="default"/>
      </w:rPr>
    </w:lvl>
    <w:lvl w:ilvl="8" w:tplc="ED4C445C">
      <w:start w:val="1"/>
      <w:numFmt w:val="bullet"/>
      <w:lvlText w:val=""/>
      <w:lvlJc w:val="left"/>
      <w:pPr>
        <w:ind w:left="6480" w:hanging="360"/>
      </w:pPr>
      <w:rPr>
        <w:rFonts w:ascii="Wingdings" w:hAnsi="Wingdings" w:hint="default"/>
      </w:rPr>
    </w:lvl>
  </w:abstractNum>
  <w:abstractNum w:abstractNumId="18" w15:restartNumberingAfterBreak="0">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6"/>
  </w:num>
  <w:num w:numId="5">
    <w:abstractNumId w:val="7"/>
  </w:num>
  <w:num w:numId="6">
    <w:abstractNumId w:val="9"/>
  </w:num>
  <w:num w:numId="7">
    <w:abstractNumId w:val="14"/>
  </w:num>
  <w:num w:numId="8">
    <w:abstractNumId w:val="12"/>
  </w:num>
  <w:num w:numId="9">
    <w:abstractNumId w:val="8"/>
  </w:num>
  <w:num w:numId="10">
    <w:abstractNumId w:val="5"/>
  </w:num>
  <w:num w:numId="11">
    <w:abstractNumId w:val="18"/>
  </w:num>
  <w:num w:numId="12">
    <w:abstractNumId w:val="2"/>
  </w:num>
  <w:num w:numId="13">
    <w:abstractNumId w:val="3"/>
  </w:num>
  <w:num w:numId="14">
    <w:abstractNumId w:val="1"/>
  </w:num>
  <w:num w:numId="15">
    <w:abstractNumId w:val="10"/>
  </w:num>
  <w:num w:numId="16">
    <w:abstractNumId w:val="15"/>
  </w:num>
  <w:num w:numId="17">
    <w:abstractNumId w:val="13"/>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2012F"/>
    <w:rsid w:val="00027D10"/>
    <w:rsid w:val="0003340B"/>
    <w:rsid w:val="000401FE"/>
    <w:rsid w:val="000A2C8A"/>
    <w:rsid w:val="000C6D49"/>
    <w:rsid w:val="000F1B8E"/>
    <w:rsid w:val="001231A8"/>
    <w:rsid w:val="001346EF"/>
    <w:rsid w:val="0015285E"/>
    <w:rsid w:val="00154B47"/>
    <w:rsid w:val="00194EA1"/>
    <w:rsid w:val="001A2677"/>
    <w:rsid w:val="001D3762"/>
    <w:rsid w:val="00201F33"/>
    <w:rsid w:val="00266950"/>
    <w:rsid w:val="00270914"/>
    <w:rsid w:val="002872BA"/>
    <w:rsid w:val="002A4349"/>
    <w:rsid w:val="00312298"/>
    <w:rsid w:val="003363D1"/>
    <w:rsid w:val="00344BBB"/>
    <w:rsid w:val="00346EF5"/>
    <w:rsid w:val="00350389"/>
    <w:rsid w:val="00393435"/>
    <w:rsid w:val="004204DC"/>
    <w:rsid w:val="004262AE"/>
    <w:rsid w:val="0045262C"/>
    <w:rsid w:val="00485C7B"/>
    <w:rsid w:val="004923A4"/>
    <w:rsid w:val="004C4239"/>
    <w:rsid w:val="004D517F"/>
    <w:rsid w:val="004E5C1A"/>
    <w:rsid w:val="00503C1B"/>
    <w:rsid w:val="0051686C"/>
    <w:rsid w:val="00571D1D"/>
    <w:rsid w:val="005B63FE"/>
    <w:rsid w:val="005C4517"/>
    <w:rsid w:val="005D20C2"/>
    <w:rsid w:val="00617E11"/>
    <w:rsid w:val="006745D9"/>
    <w:rsid w:val="006B0C4C"/>
    <w:rsid w:val="006B22FC"/>
    <w:rsid w:val="006D003E"/>
    <w:rsid w:val="00705904"/>
    <w:rsid w:val="0070742C"/>
    <w:rsid w:val="00724C6D"/>
    <w:rsid w:val="00760C10"/>
    <w:rsid w:val="007774DF"/>
    <w:rsid w:val="0078442F"/>
    <w:rsid w:val="007B58DE"/>
    <w:rsid w:val="007D5839"/>
    <w:rsid w:val="00836B62"/>
    <w:rsid w:val="00840FA6"/>
    <w:rsid w:val="00853AD8"/>
    <w:rsid w:val="008A76A6"/>
    <w:rsid w:val="008A7FAB"/>
    <w:rsid w:val="008B15C8"/>
    <w:rsid w:val="008D5A04"/>
    <w:rsid w:val="0093783D"/>
    <w:rsid w:val="00962592"/>
    <w:rsid w:val="00995551"/>
    <w:rsid w:val="009E6F3A"/>
    <w:rsid w:val="009F2AAE"/>
    <w:rsid w:val="00A10A51"/>
    <w:rsid w:val="00A1606E"/>
    <w:rsid w:val="00A168DD"/>
    <w:rsid w:val="00A345CE"/>
    <w:rsid w:val="00A83786"/>
    <w:rsid w:val="00AA6A17"/>
    <w:rsid w:val="00AC6B51"/>
    <w:rsid w:val="00B05B06"/>
    <w:rsid w:val="00B72082"/>
    <w:rsid w:val="00BB2952"/>
    <w:rsid w:val="00BD496D"/>
    <w:rsid w:val="00C205C1"/>
    <w:rsid w:val="00C75AB9"/>
    <w:rsid w:val="00C86BB2"/>
    <w:rsid w:val="00CC5502"/>
    <w:rsid w:val="00D00C4E"/>
    <w:rsid w:val="00D142D1"/>
    <w:rsid w:val="00D23786"/>
    <w:rsid w:val="00D35A02"/>
    <w:rsid w:val="00D52938"/>
    <w:rsid w:val="00D66AFB"/>
    <w:rsid w:val="00D81983"/>
    <w:rsid w:val="00DB4EBE"/>
    <w:rsid w:val="00DD1A0B"/>
    <w:rsid w:val="00DE06A0"/>
    <w:rsid w:val="00E22B7F"/>
    <w:rsid w:val="00E25221"/>
    <w:rsid w:val="00E47461"/>
    <w:rsid w:val="00E60A81"/>
    <w:rsid w:val="00E805B1"/>
    <w:rsid w:val="00EC3C50"/>
    <w:rsid w:val="00EF03D6"/>
    <w:rsid w:val="00EF6E00"/>
    <w:rsid w:val="00F15744"/>
    <w:rsid w:val="00F16472"/>
    <w:rsid w:val="00F21731"/>
    <w:rsid w:val="00F54265"/>
    <w:rsid w:val="00F8435E"/>
    <w:rsid w:val="00F93992"/>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274E9"/>
  <w15:docId w15:val="{A26E1706-36CE-40B8-B0B7-78206280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d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396636256">
      <w:bodyDiv w:val="1"/>
      <w:marLeft w:val="0"/>
      <w:marRight w:val="0"/>
      <w:marTop w:val="0"/>
      <w:marBottom w:val="0"/>
      <w:divBdr>
        <w:top w:val="none" w:sz="0" w:space="0" w:color="auto"/>
        <w:left w:val="none" w:sz="0" w:space="0" w:color="auto"/>
        <w:bottom w:val="none" w:sz="0" w:space="0" w:color="auto"/>
        <w:right w:val="none" w:sz="0" w:space="0" w:color="auto"/>
      </w:divBdr>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 w:id="1625424310">
      <w:bodyDiv w:val="1"/>
      <w:marLeft w:val="0"/>
      <w:marRight w:val="0"/>
      <w:marTop w:val="0"/>
      <w:marBottom w:val="0"/>
      <w:divBdr>
        <w:top w:val="none" w:sz="0" w:space="0" w:color="auto"/>
        <w:left w:val="none" w:sz="0" w:space="0" w:color="auto"/>
        <w:bottom w:val="none" w:sz="0" w:space="0" w:color="auto"/>
        <w:right w:val="none" w:sz="0" w:space="0" w:color="auto"/>
      </w:divBdr>
    </w:div>
    <w:div w:id="197062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UHRUZACKTJEK-540971305-182268</_dlc_DocId>
    <_dlc_DocIdUrl xmlns="889b5d77-561b-4745-9149-1638f0c8024a">
      <Url>https://metaops.sharepoint.com/sites/disk/_layouts/15/DocIdRedir.aspx?ID=UHRUZACKTJEK-540971305-182268</Url>
      <Description>UHRUZACKTJEK-540971305-182268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6134E-CA71-42D2-9D60-63224278A3FE}"/>
</file>

<file path=customXml/itemProps2.xml><?xml version="1.0" encoding="utf-8"?>
<ds:datastoreItem xmlns:ds="http://schemas.openxmlformats.org/officeDocument/2006/customXml" ds:itemID="{D6ED383E-67A4-4B2E-A566-444E8E53B06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89b5d77-561b-4745-9149-1638f0c8024a"/>
    <ds:schemaRef ds:uri="http://purl.org/dc/terms/"/>
    <ds:schemaRef ds:uri="http://schemas.openxmlformats.org/package/2006/metadata/core-properties"/>
    <ds:schemaRef ds:uri="c2a121c6-94b7-4d58-84be-104b400a7aae"/>
    <ds:schemaRef ds:uri="http://www.w3.org/XML/1998/namespace"/>
    <ds:schemaRef ds:uri="http://purl.org/dc/dcmitype/"/>
  </ds:schemaRefs>
</ds:datastoreItem>
</file>

<file path=customXml/itemProps3.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4.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5.xml><?xml version="1.0" encoding="utf-8"?>
<ds:datastoreItem xmlns:ds="http://schemas.openxmlformats.org/officeDocument/2006/customXml" ds:itemID="{196F8E8F-9722-4B2A-B03C-7A617A91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489</Words>
  <Characters>2887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Kristýna Chmelíková</cp:lastModifiedBy>
  <cp:revision>10</cp:revision>
  <cp:lastPrinted>2018-01-10T14:49:00Z</cp:lastPrinted>
  <dcterms:created xsi:type="dcterms:W3CDTF">2018-11-02T16:20:00Z</dcterms:created>
  <dcterms:modified xsi:type="dcterms:W3CDTF">2019-06-28T08:07:00Z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6624a972-8b9a-424c-b319-57e72a783775</vt:lpwstr>
  </property>
  <property fmtid="{D5CDD505-2E9C-101B-9397-08002B2CF9AE}" pid="4" name="AuthorIds_UIVersion_512">
    <vt:lpwstr>94</vt:lpwstr>
  </property>
</Properties>
</file>