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8F" w:rsidRPr="00CB793F" w:rsidRDefault="005F1E8D" w:rsidP="001A13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B793F">
        <w:rPr>
          <w:rFonts w:ascii="Arial" w:hAnsi="Arial" w:cs="Arial"/>
          <w:b/>
          <w:sz w:val="24"/>
          <w:szCs w:val="24"/>
          <w:u w:val="single"/>
        </w:rPr>
        <w:t xml:space="preserve">Žádost </w:t>
      </w:r>
      <w:r w:rsidR="007E2673" w:rsidRPr="00CB793F">
        <w:rPr>
          <w:rFonts w:ascii="Arial" w:hAnsi="Arial" w:cs="Arial"/>
          <w:b/>
          <w:sz w:val="24"/>
          <w:szCs w:val="24"/>
          <w:u w:val="single"/>
        </w:rPr>
        <w:t>d</w:t>
      </w:r>
      <w:r w:rsidRPr="00CB793F">
        <w:rPr>
          <w:rFonts w:ascii="Arial" w:hAnsi="Arial" w:cs="Arial"/>
          <w:b/>
          <w:sz w:val="24"/>
          <w:szCs w:val="24"/>
          <w:u w:val="single"/>
        </w:rPr>
        <w:t>o uznání zahraničního vzdělání/Nostrifikace</w:t>
      </w:r>
    </w:p>
    <w:p w:rsidR="001A136B" w:rsidRDefault="001A136B" w:rsidP="001A136B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  <w:proofErr w:type="spellStart"/>
      <w:r w:rsidRPr="00CB793F">
        <w:rPr>
          <w:rFonts w:ascii="Arial" w:hAnsi="Arial" w:cs="Arial"/>
          <w:b/>
          <w:color w:val="0070C0"/>
          <w:sz w:val="24"/>
          <w:szCs w:val="24"/>
          <w:u w:val="single"/>
        </w:rPr>
        <w:t>Solicitud</w:t>
      </w:r>
      <w:proofErr w:type="spellEnd"/>
      <w:r w:rsidRPr="00CB793F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de </w:t>
      </w:r>
      <w:proofErr w:type="spellStart"/>
      <w:r w:rsidRPr="00CB793F">
        <w:rPr>
          <w:rFonts w:ascii="Arial" w:hAnsi="Arial" w:cs="Arial"/>
          <w:b/>
          <w:color w:val="0070C0"/>
          <w:sz w:val="24"/>
          <w:szCs w:val="24"/>
          <w:u w:val="single"/>
        </w:rPr>
        <w:t>homologación</w:t>
      </w:r>
      <w:proofErr w:type="spellEnd"/>
      <w:r w:rsidRPr="00CB793F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de </w:t>
      </w:r>
      <w:proofErr w:type="spellStart"/>
      <w:r w:rsidRPr="00CB793F">
        <w:rPr>
          <w:rFonts w:ascii="Arial" w:hAnsi="Arial" w:cs="Arial"/>
          <w:b/>
          <w:color w:val="0070C0"/>
          <w:sz w:val="24"/>
          <w:szCs w:val="24"/>
          <w:u w:val="single"/>
        </w:rPr>
        <w:t>títulos</w:t>
      </w:r>
      <w:proofErr w:type="spellEnd"/>
      <w:r w:rsidRPr="00CB793F">
        <w:rPr>
          <w:rFonts w:ascii="Arial" w:hAnsi="Arial" w:cs="Arial"/>
          <w:b/>
          <w:color w:val="0070C0"/>
          <w:sz w:val="24"/>
          <w:szCs w:val="24"/>
          <w:u w:val="single"/>
        </w:rPr>
        <w:t>/</w:t>
      </w:r>
      <w:proofErr w:type="spellStart"/>
      <w:r w:rsidRPr="00CB793F">
        <w:rPr>
          <w:rFonts w:ascii="Arial" w:hAnsi="Arial" w:cs="Arial"/>
          <w:b/>
          <w:color w:val="0070C0"/>
          <w:sz w:val="24"/>
          <w:szCs w:val="24"/>
          <w:u w:val="single"/>
        </w:rPr>
        <w:t>convalidación</w:t>
      </w:r>
      <w:proofErr w:type="spellEnd"/>
      <w:r w:rsidRPr="00CB793F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de la </w:t>
      </w:r>
      <w:proofErr w:type="spellStart"/>
      <w:r w:rsidRPr="00CB793F">
        <w:rPr>
          <w:rFonts w:ascii="Arial" w:hAnsi="Arial" w:cs="Arial"/>
          <w:b/>
          <w:color w:val="0070C0"/>
          <w:sz w:val="24"/>
          <w:szCs w:val="24"/>
          <w:u w:val="single"/>
        </w:rPr>
        <w:t>enseňanza</w:t>
      </w:r>
      <w:proofErr w:type="spellEnd"/>
    </w:p>
    <w:p w:rsidR="00CB793F" w:rsidRPr="00CB793F" w:rsidRDefault="00CB793F" w:rsidP="001A136B">
      <w:pPr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5F1E8D" w:rsidRPr="00CB793F" w:rsidRDefault="005F1E8D" w:rsidP="001A136B">
      <w:pPr>
        <w:jc w:val="both"/>
        <w:rPr>
          <w:rFonts w:ascii="Arial" w:hAnsi="Arial" w:cs="Arial"/>
          <w:sz w:val="24"/>
          <w:szCs w:val="24"/>
        </w:rPr>
      </w:pPr>
    </w:p>
    <w:p w:rsidR="005F1E8D" w:rsidRPr="00CB793F" w:rsidRDefault="005F1E8D" w:rsidP="001A136B">
      <w:pPr>
        <w:jc w:val="both"/>
        <w:rPr>
          <w:rFonts w:ascii="Arial" w:hAnsi="Arial" w:cs="Arial"/>
          <w:sz w:val="24"/>
          <w:szCs w:val="24"/>
        </w:rPr>
      </w:pPr>
      <w:r w:rsidRPr="00CB793F">
        <w:rPr>
          <w:rFonts w:ascii="Arial" w:hAnsi="Arial" w:cs="Arial"/>
          <w:sz w:val="24"/>
          <w:szCs w:val="24"/>
        </w:rPr>
        <w:t xml:space="preserve">Při pokračování ve studiu na střední škole je nutné doložit ukončení povinné školní docházky. Pokud Vaše dítě ukončilo povinnou školní docházku (alespoň devět let školy) jinde než v České republice, bude nutné podat žádost o uznání zahraničního vzdělání na odbor školství příslušného krajského úřadu (podle Vašeho trvalého bydliště </w:t>
      </w:r>
      <w:r w:rsidR="004D5A05" w:rsidRPr="00CB793F">
        <w:rPr>
          <w:rFonts w:ascii="Arial" w:hAnsi="Arial" w:cs="Arial"/>
          <w:sz w:val="24"/>
          <w:szCs w:val="24"/>
        </w:rPr>
        <w:t xml:space="preserve">- doloženého údaji v </w:t>
      </w:r>
      <w:r w:rsidRPr="00CB793F">
        <w:rPr>
          <w:rFonts w:ascii="Arial" w:hAnsi="Arial" w:cs="Arial"/>
          <w:sz w:val="24"/>
          <w:szCs w:val="24"/>
        </w:rPr>
        <w:t>cestovn</w:t>
      </w:r>
      <w:r w:rsidR="004D5A05" w:rsidRPr="00CB793F">
        <w:rPr>
          <w:rFonts w:ascii="Arial" w:hAnsi="Arial" w:cs="Arial"/>
          <w:sz w:val="24"/>
          <w:szCs w:val="24"/>
        </w:rPr>
        <w:t>ím pase, příp. nájemní smlouvou).</w:t>
      </w:r>
      <w:r w:rsidR="00B21282" w:rsidRPr="00CB793F">
        <w:rPr>
          <w:rFonts w:ascii="Arial" w:hAnsi="Arial" w:cs="Arial"/>
          <w:sz w:val="24"/>
          <w:szCs w:val="24"/>
        </w:rPr>
        <w:t xml:space="preserve"> Žádosti bývají ke stažení na webových stránkách krajských úřadů.</w:t>
      </w:r>
    </w:p>
    <w:p w:rsidR="001A136B" w:rsidRPr="00CB793F" w:rsidRDefault="001A136B" w:rsidP="001A136B">
      <w:pPr>
        <w:rPr>
          <w:rFonts w:ascii="Arial" w:hAnsi="Arial" w:cs="Arial"/>
          <w:color w:val="0070C0"/>
          <w:sz w:val="24"/>
          <w:szCs w:val="24"/>
        </w:rPr>
      </w:pP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Al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continuar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los studios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en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el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instituto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(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bachillerato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),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hay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que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prober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el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fin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de la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escolaridad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obligatoria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. </w:t>
      </w:r>
      <w:proofErr w:type="gramStart"/>
      <w:r w:rsidRPr="00CB793F">
        <w:rPr>
          <w:rFonts w:ascii="Arial" w:hAnsi="Arial" w:cs="Arial"/>
          <w:color w:val="0070C0"/>
          <w:sz w:val="24"/>
          <w:szCs w:val="24"/>
        </w:rPr>
        <w:t>Si</w:t>
      </w:r>
      <w:proofErr w:type="gram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su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hijo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>/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hija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ha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finalizado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la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escolaridad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obligatoria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(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por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lo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mínimo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nueve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aňos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de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duración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)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afuera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de la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República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Checa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,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hay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que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presentar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la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solicitud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de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convalidación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de la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enseňanza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extranjera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al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Departamento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de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Enseňanza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en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la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Diputación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Provincial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(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Municipalidad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)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correspondiente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(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según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la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dirección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de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su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domicilio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anotada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en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su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pasaporte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, o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según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la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dirección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en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su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contrato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de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alquiler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de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piso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). Las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solicitudes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pueden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ser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encontradas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para la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descarga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en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las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páginas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web de las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Diputaciones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Provinciales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(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Municipalidades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). </w:t>
      </w:r>
    </w:p>
    <w:p w:rsidR="005C2BEF" w:rsidRDefault="00CB793F" w:rsidP="00CB793F">
      <w:pPr>
        <w:tabs>
          <w:tab w:val="left" w:pos="3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B793F" w:rsidRPr="00CB793F" w:rsidRDefault="00CB793F" w:rsidP="00CB793F">
      <w:pPr>
        <w:tabs>
          <w:tab w:val="left" w:pos="3750"/>
        </w:tabs>
        <w:jc w:val="both"/>
        <w:rPr>
          <w:rFonts w:ascii="Arial" w:hAnsi="Arial" w:cs="Arial"/>
          <w:sz w:val="24"/>
          <w:szCs w:val="24"/>
        </w:rPr>
      </w:pPr>
    </w:p>
    <w:p w:rsidR="004D5A05" w:rsidRPr="00CB793F" w:rsidRDefault="004D5A05" w:rsidP="001A136B">
      <w:pPr>
        <w:jc w:val="both"/>
        <w:rPr>
          <w:rFonts w:ascii="Arial" w:hAnsi="Arial" w:cs="Arial"/>
          <w:b/>
          <w:sz w:val="24"/>
          <w:szCs w:val="24"/>
        </w:rPr>
      </w:pPr>
      <w:r w:rsidRPr="00CB793F">
        <w:rPr>
          <w:rFonts w:ascii="Arial" w:hAnsi="Arial" w:cs="Arial"/>
          <w:b/>
          <w:sz w:val="24"/>
          <w:szCs w:val="24"/>
        </w:rPr>
        <w:t>Povinnými přílohami žádosti je:</w:t>
      </w:r>
    </w:p>
    <w:p w:rsidR="001A136B" w:rsidRPr="00CB793F" w:rsidRDefault="001A136B" w:rsidP="001A136B">
      <w:pPr>
        <w:rPr>
          <w:rFonts w:ascii="Arial" w:hAnsi="Arial" w:cs="Arial"/>
          <w:b/>
          <w:color w:val="0070C0"/>
          <w:sz w:val="24"/>
          <w:szCs w:val="24"/>
        </w:rPr>
      </w:pPr>
      <w:r w:rsidRPr="00CB793F">
        <w:rPr>
          <w:rFonts w:ascii="Arial" w:hAnsi="Arial" w:cs="Arial"/>
          <w:b/>
          <w:color w:val="0070C0"/>
          <w:sz w:val="24"/>
          <w:szCs w:val="24"/>
        </w:rPr>
        <w:t xml:space="preserve">Los </w:t>
      </w:r>
      <w:proofErr w:type="spellStart"/>
      <w:r w:rsidRPr="00CB793F">
        <w:rPr>
          <w:rFonts w:ascii="Arial" w:hAnsi="Arial" w:cs="Arial"/>
          <w:b/>
          <w:color w:val="0070C0"/>
          <w:sz w:val="24"/>
          <w:szCs w:val="24"/>
        </w:rPr>
        <w:t>suplementos</w:t>
      </w:r>
      <w:proofErr w:type="spellEnd"/>
      <w:r w:rsidRPr="00CB793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b/>
          <w:color w:val="0070C0"/>
          <w:sz w:val="24"/>
          <w:szCs w:val="24"/>
        </w:rPr>
        <w:t>requeridos</w:t>
      </w:r>
      <w:proofErr w:type="spellEnd"/>
      <w:r w:rsidRPr="00CB793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b/>
          <w:color w:val="0070C0"/>
          <w:sz w:val="24"/>
          <w:szCs w:val="24"/>
        </w:rPr>
        <w:t>con</w:t>
      </w:r>
      <w:proofErr w:type="spellEnd"/>
      <w:r w:rsidRPr="00CB793F">
        <w:rPr>
          <w:rFonts w:ascii="Arial" w:hAnsi="Arial" w:cs="Arial"/>
          <w:b/>
          <w:color w:val="0070C0"/>
          <w:sz w:val="24"/>
          <w:szCs w:val="24"/>
        </w:rPr>
        <w:t xml:space="preserve"> la </w:t>
      </w:r>
      <w:proofErr w:type="spellStart"/>
      <w:r w:rsidRPr="00CB793F">
        <w:rPr>
          <w:rFonts w:ascii="Arial" w:hAnsi="Arial" w:cs="Arial"/>
          <w:b/>
          <w:color w:val="0070C0"/>
          <w:sz w:val="24"/>
          <w:szCs w:val="24"/>
        </w:rPr>
        <w:t>solicitud</w:t>
      </w:r>
      <w:proofErr w:type="spellEnd"/>
      <w:r w:rsidRPr="00CB793F">
        <w:rPr>
          <w:rFonts w:ascii="Arial" w:hAnsi="Arial" w:cs="Arial"/>
          <w:b/>
          <w:color w:val="0070C0"/>
          <w:sz w:val="24"/>
          <w:szCs w:val="24"/>
        </w:rPr>
        <w:t xml:space="preserve"> son las </w:t>
      </w:r>
      <w:proofErr w:type="spellStart"/>
      <w:r w:rsidRPr="00CB793F">
        <w:rPr>
          <w:rFonts w:ascii="Arial" w:hAnsi="Arial" w:cs="Arial"/>
          <w:b/>
          <w:color w:val="0070C0"/>
          <w:sz w:val="24"/>
          <w:szCs w:val="24"/>
        </w:rPr>
        <w:t>siguientes</w:t>
      </w:r>
      <w:proofErr w:type="spellEnd"/>
      <w:r w:rsidRPr="00CB793F">
        <w:rPr>
          <w:rFonts w:ascii="Arial" w:hAnsi="Arial" w:cs="Arial"/>
          <w:b/>
          <w:color w:val="0070C0"/>
          <w:sz w:val="24"/>
          <w:szCs w:val="24"/>
        </w:rPr>
        <w:t xml:space="preserve">: </w:t>
      </w:r>
    </w:p>
    <w:p w:rsidR="001A136B" w:rsidRPr="00CB793F" w:rsidRDefault="001A136B" w:rsidP="001A136B">
      <w:pPr>
        <w:jc w:val="both"/>
        <w:rPr>
          <w:rFonts w:ascii="Arial" w:hAnsi="Arial" w:cs="Arial"/>
          <w:sz w:val="24"/>
          <w:szCs w:val="24"/>
        </w:rPr>
      </w:pPr>
    </w:p>
    <w:p w:rsidR="004D5A05" w:rsidRPr="00CB793F" w:rsidRDefault="004D5A05" w:rsidP="001A136B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CB793F">
        <w:rPr>
          <w:rFonts w:ascii="Arial" w:hAnsi="Arial" w:cs="Arial"/>
          <w:sz w:val="24"/>
          <w:szCs w:val="24"/>
        </w:rPr>
        <w:t>notářsky ověřená kopie dokladu o ukončení povinné školní docházky</w:t>
      </w:r>
    </w:p>
    <w:p w:rsidR="001A136B" w:rsidRPr="00CB793F" w:rsidRDefault="001A136B" w:rsidP="0090406E">
      <w:pPr>
        <w:ind w:left="426" w:right="0"/>
        <w:rPr>
          <w:rFonts w:ascii="Arial" w:hAnsi="Arial" w:cs="Arial"/>
          <w:color w:val="0070C0"/>
          <w:sz w:val="24"/>
          <w:szCs w:val="24"/>
        </w:rPr>
      </w:pP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Copia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del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documento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probando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la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conclusión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de la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enseňanza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obligatoria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,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verificada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   ante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el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notario</w:t>
      </w:r>
      <w:proofErr w:type="spellEnd"/>
    </w:p>
    <w:p w:rsidR="005C2BEF" w:rsidRPr="00CB793F" w:rsidRDefault="005C2BEF" w:rsidP="001A136B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CB793F">
        <w:rPr>
          <w:rFonts w:ascii="Arial" w:hAnsi="Arial" w:cs="Arial"/>
          <w:sz w:val="24"/>
          <w:szCs w:val="24"/>
        </w:rPr>
        <w:t>notářsky ověřená kopie v</w:t>
      </w:r>
      <w:r w:rsidR="004D5A05" w:rsidRPr="00CB793F">
        <w:rPr>
          <w:rFonts w:ascii="Arial" w:hAnsi="Arial" w:cs="Arial"/>
          <w:sz w:val="24"/>
          <w:szCs w:val="24"/>
        </w:rPr>
        <w:t>ýpis</w:t>
      </w:r>
      <w:r w:rsidRPr="00CB793F">
        <w:rPr>
          <w:rFonts w:ascii="Arial" w:hAnsi="Arial" w:cs="Arial"/>
          <w:sz w:val="24"/>
          <w:szCs w:val="24"/>
        </w:rPr>
        <w:t>u</w:t>
      </w:r>
      <w:r w:rsidR="004D5A05" w:rsidRPr="00CB793F">
        <w:rPr>
          <w:rFonts w:ascii="Arial" w:hAnsi="Arial" w:cs="Arial"/>
          <w:sz w:val="24"/>
          <w:szCs w:val="24"/>
        </w:rPr>
        <w:t xml:space="preserve"> absolvovaných předmětů (pokud možno s počtem hodin z jednotlivých předmětů za celou dobu školní docházky).</w:t>
      </w:r>
    </w:p>
    <w:p w:rsidR="001A136B" w:rsidRPr="00CB793F" w:rsidRDefault="001A136B" w:rsidP="001A136B">
      <w:pPr>
        <w:ind w:left="426" w:right="0"/>
        <w:rPr>
          <w:rFonts w:ascii="Arial" w:hAnsi="Arial" w:cs="Arial"/>
          <w:color w:val="0070C0"/>
          <w:sz w:val="24"/>
          <w:szCs w:val="24"/>
        </w:rPr>
      </w:pP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Copia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del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listado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de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materias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abrobadas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(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al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ser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posible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con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número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de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horas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semanales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dedicadas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a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cada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materia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durante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toda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la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asistencia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a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clases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),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verificada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ante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el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notario</w:t>
      </w:r>
      <w:proofErr w:type="spellEnd"/>
    </w:p>
    <w:p w:rsidR="005C2BEF" w:rsidRPr="00CB793F" w:rsidRDefault="005C2BEF" w:rsidP="001A136B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</w:p>
    <w:p w:rsidR="00FD2D8F" w:rsidRPr="00CB793F" w:rsidRDefault="005C2BEF" w:rsidP="001A136B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CB793F">
        <w:rPr>
          <w:rFonts w:ascii="Arial" w:hAnsi="Arial" w:cs="Arial"/>
          <w:sz w:val="24"/>
          <w:szCs w:val="24"/>
        </w:rPr>
        <w:t>Seznam notářů najdete v on-line databázi zde:</w:t>
      </w:r>
    </w:p>
    <w:p w:rsidR="005C2BEF" w:rsidRPr="00CB793F" w:rsidRDefault="002F281B" w:rsidP="001A136B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hyperlink r:id="rId7" w:history="1">
        <w:r w:rsidR="005C2BEF" w:rsidRPr="00CB793F">
          <w:rPr>
            <w:rStyle w:val="Hypertextovodkaz"/>
            <w:rFonts w:ascii="Arial" w:hAnsi="Arial" w:cs="Arial"/>
            <w:sz w:val="24"/>
            <w:szCs w:val="24"/>
          </w:rPr>
          <w:t>http://www.nkcr.cz/index.php?page=notari</w:t>
        </w:r>
      </w:hyperlink>
    </w:p>
    <w:p w:rsidR="001A136B" w:rsidRPr="00CB793F" w:rsidRDefault="001A136B" w:rsidP="001A136B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</w:p>
    <w:p w:rsidR="001A136B" w:rsidRPr="00CB793F" w:rsidRDefault="001A136B" w:rsidP="001A136B">
      <w:pPr>
        <w:ind w:firstLine="426"/>
        <w:rPr>
          <w:rFonts w:ascii="Arial" w:hAnsi="Arial" w:cs="Arial"/>
          <w:color w:val="0070C0"/>
          <w:sz w:val="24"/>
          <w:szCs w:val="24"/>
        </w:rPr>
      </w:pPr>
      <w:r w:rsidRPr="00CB793F">
        <w:rPr>
          <w:rFonts w:ascii="Arial" w:hAnsi="Arial" w:cs="Arial"/>
          <w:color w:val="0070C0"/>
          <w:sz w:val="24"/>
          <w:szCs w:val="24"/>
        </w:rPr>
        <w:t xml:space="preserve">La lista de los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notarios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puede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encontrarse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online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en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la base de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datos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: </w:t>
      </w:r>
    </w:p>
    <w:p w:rsidR="001A136B" w:rsidRPr="00CB793F" w:rsidRDefault="002F281B" w:rsidP="001A136B">
      <w:pPr>
        <w:pStyle w:val="Odstavecseseznamem1"/>
        <w:ind w:left="426"/>
        <w:jc w:val="both"/>
        <w:rPr>
          <w:rFonts w:ascii="Arial" w:hAnsi="Arial" w:cs="Arial"/>
          <w:color w:val="005696"/>
          <w:sz w:val="24"/>
          <w:szCs w:val="24"/>
        </w:rPr>
      </w:pPr>
      <w:hyperlink r:id="rId8" w:history="1">
        <w:r w:rsidR="001A136B" w:rsidRPr="00CB793F">
          <w:rPr>
            <w:rStyle w:val="Hypertextovodkaz"/>
            <w:rFonts w:ascii="Arial" w:hAnsi="Arial" w:cs="Arial"/>
            <w:color w:val="005696"/>
            <w:sz w:val="24"/>
            <w:szCs w:val="24"/>
          </w:rPr>
          <w:t>http://www.nkcr.cz/index.php?page=notari</w:t>
        </w:r>
      </w:hyperlink>
    </w:p>
    <w:p w:rsidR="001A136B" w:rsidRPr="00CB793F" w:rsidRDefault="001A136B" w:rsidP="001A136B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</w:p>
    <w:p w:rsidR="005C2BEF" w:rsidRPr="00CB793F" w:rsidRDefault="005C2BEF" w:rsidP="001A136B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</w:p>
    <w:p w:rsidR="004D5A05" w:rsidRPr="00CB793F" w:rsidRDefault="004D5A05" w:rsidP="001A136B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CB793F">
        <w:rPr>
          <w:rFonts w:ascii="Arial" w:hAnsi="Arial" w:cs="Arial"/>
          <w:sz w:val="24"/>
          <w:szCs w:val="24"/>
        </w:rPr>
        <w:t>soudní překlad dokladu o ukončení povinné školní docházky</w:t>
      </w:r>
    </w:p>
    <w:p w:rsidR="001A136B" w:rsidRPr="00CB793F" w:rsidRDefault="001A136B" w:rsidP="0090406E">
      <w:pPr>
        <w:ind w:right="0" w:firstLine="426"/>
        <w:rPr>
          <w:rFonts w:ascii="Arial" w:hAnsi="Arial" w:cs="Arial"/>
          <w:color w:val="0070C0"/>
          <w:sz w:val="24"/>
          <w:szCs w:val="24"/>
        </w:rPr>
      </w:pPr>
      <w:r w:rsidRPr="00CB793F">
        <w:rPr>
          <w:rFonts w:ascii="Arial" w:hAnsi="Arial" w:cs="Arial"/>
          <w:color w:val="0070C0"/>
          <w:sz w:val="24"/>
          <w:szCs w:val="24"/>
        </w:rPr>
        <w:t xml:space="preserve">La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traducción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judicial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del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documento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probando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la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conclusión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de la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enseňanza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obligatoria</w:t>
      </w:r>
      <w:proofErr w:type="spellEnd"/>
    </w:p>
    <w:p w:rsidR="004D5A05" w:rsidRPr="00CB793F" w:rsidRDefault="004D5A05" w:rsidP="001A136B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CB793F">
        <w:rPr>
          <w:rFonts w:ascii="Arial" w:hAnsi="Arial" w:cs="Arial"/>
          <w:sz w:val="24"/>
          <w:szCs w:val="24"/>
        </w:rPr>
        <w:t>soudní překlad výpisu absolvovaných předmětů</w:t>
      </w:r>
    </w:p>
    <w:p w:rsidR="001A136B" w:rsidRPr="00CB793F" w:rsidRDefault="001A136B" w:rsidP="001A136B">
      <w:pPr>
        <w:ind w:right="0" w:firstLine="426"/>
        <w:rPr>
          <w:rFonts w:ascii="Arial" w:hAnsi="Arial" w:cs="Arial"/>
          <w:color w:val="0070C0"/>
          <w:sz w:val="24"/>
          <w:szCs w:val="24"/>
        </w:rPr>
      </w:pPr>
      <w:r w:rsidRPr="00CB793F">
        <w:rPr>
          <w:rFonts w:ascii="Arial" w:hAnsi="Arial" w:cs="Arial"/>
          <w:color w:val="0070C0"/>
          <w:sz w:val="24"/>
          <w:szCs w:val="24"/>
        </w:rPr>
        <w:lastRenderedPageBreak/>
        <w:t xml:space="preserve">La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traducción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judicial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del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listado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de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materias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abrobadas</w:t>
      </w:r>
      <w:proofErr w:type="spellEnd"/>
    </w:p>
    <w:p w:rsidR="005C2BEF" w:rsidRPr="00CB793F" w:rsidRDefault="005C2BEF" w:rsidP="0090406E">
      <w:pPr>
        <w:jc w:val="both"/>
        <w:rPr>
          <w:rFonts w:ascii="Arial" w:hAnsi="Arial" w:cs="Arial"/>
          <w:sz w:val="24"/>
          <w:szCs w:val="24"/>
        </w:rPr>
      </w:pPr>
    </w:p>
    <w:p w:rsidR="005C2BEF" w:rsidRPr="00CB793F" w:rsidRDefault="005C2BEF" w:rsidP="001A136B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r w:rsidRPr="00CB793F">
        <w:rPr>
          <w:rFonts w:ascii="Arial" w:hAnsi="Arial" w:cs="Arial"/>
          <w:sz w:val="24"/>
          <w:szCs w:val="24"/>
        </w:rPr>
        <w:t>Seznam soudních tlumočníků najdete v on-line databázi zde:</w:t>
      </w:r>
    </w:p>
    <w:p w:rsidR="004D5A05" w:rsidRPr="00CB793F" w:rsidRDefault="002F281B" w:rsidP="001A136B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  <w:hyperlink r:id="rId9" w:history="1">
        <w:r w:rsidR="005C2BEF" w:rsidRPr="00CB793F">
          <w:rPr>
            <w:rStyle w:val="Hypertextovodkaz"/>
            <w:rFonts w:ascii="Arial" w:hAnsi="Arial" w:cs="Arial"/>
            <w:sz w:val="24"/>
            <w:szCs w:val="24"/>
          </w:rPr>
          <w:t>http://datalot.justice.cz/justice/repznatl.nsf/$$SearchForm</w:t>
        </w:r>
      </w:hyperlink>
    </w:p>
    <w:p w:rsidR="001A136B" w:rsidRPr="00CB793F" w:rsidRDefault="001A136B" w:rsidP="001A136B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</w:p>
    <w:p w:rsidR="001A136B" w:rsidRPr="00CB793F" w:rsidRDefault="001A136B" w:rsidP="008E61D2">
      <w:pPr>
        <w:ind w:firstLine="426"/>
        <w:rPr>
          <w:rFonts w:ascii="Arial" w:hAnsi="Arial" w:cs="Arial"/>
          <w:color w:val="0070C0"/>
          <w:sz w:val="24"/>
          <w:szCs w:val="24"/>
        </w:rPr>
      </w:pPr>
      <w:r w:rsidRPr="00CB793F">
        <w:rPr>
          <w:rFonts w:ascii="Arial" w:hAnsi="Arial" w:cs="Arial"/>
          <w:color w:val="0070C0"/>
          <w:sz w:val="24"/>
          <w:szCs w:val="24"/>
        </w:rPr>
        <w:t xml:space="preserve">La lista de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traductores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judiciales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puede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encontrarse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online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en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 xml:space="preserve"> la base de </w:t>
      </w:r>
      <w:proofErr w:type="spellStart"/>
      <w:r w:rsidRPr="00CB793F">
        <w:rPr>
          <w:rFonts w:ascii="Arial" w:hAnsi="Arial" w:cs="Arial"/>
          <w:color w:val="0070C0"/>
          <w:sz w:val="24"/>
          <w:szCs w:val="24"/>
        </w:rPr>
        <w:t>datos</w:t>
      </w:r>
      <w:proofErr w:type="spellEnd"/>
      <w:r w:rsidRPr="00CB793F">
        <w:rPr>
          <w:rFonts w:ascii="Arial" w:hAnsi="Arial" w:cs="Arial"/>
          <w:color w:val="0070C0"/>
          <w:sz w:val="24"/>
          <w:szCs w:val="24"/>
        </w:rPr>
        <w:t>:</w:t>
      </w:r>
    </w:p>
    <w:p w:rsidR="001A136B" w:rsidRPr="00CB793F" w:rsidRDefault="002F281B" w:rsidP="001A136B">
      <w:pPr>
        <w:pStyle w:val="Odstavecseseznamem1"/>
        <w:ind w:left="426"/>
        <w:jc w:val="both"/>
        <w:rPr>
          <w:rFonts w:ascii="Arial" w:hAnsi="Arial" w:cs="Arial"/>
          <w:color w:val="0070C0"/>
          <w:sz w:val="24"/>
          <w:szCs w:val="24"/>
        </w:rPr>
      </w:pPr>
      <w:hyperlink r:id="rId10" w:history="1">
        <w:r w:rsidR="001A136B" w:rsidRPr="00CB793F">
          <w:rPr>
            <w:rStyle w:val="Hypertextovodkaz"/>
            <w:rFonts w:ascii="Arial" w:hAnsi="Arial" w:cs="Arial"/>
            <w:color w:val="0070C0"/>
            <w:sz w:val="24"/>
            <w:szCs w:val="24"/>
          </w:rPr>
          <w:t>http://datalot.justice.cz/justice/repznatl.nsf/$$SearchForm</w:t>
        </w:r>
      </w:hyperlink>
    </w:p>
    <w:p w:rsidR="001A136B" w:rsidRPr="00CB793F" w:rsidRDefault="001A136B" w:rsidP="001A136B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</w:p>
    <w:p w:rsidR="004D5A05" w:rsidRPr="00CB793F" w:rsidRDefault="004D5A05" w:rsidP="001A136B">
      <w:pPr>
        <w:jc w:val="both"/>
        <w:rPr>
          <w:rFonts w:ascii="Arial" w:hAnsi="Arial" w:cs="Arial"/>
          <w:sz w:val="24"/>
          <w:szCs w:val="24"/>
        </w:rPr>
      </w:pPr>
    </w:p>
    <w:p w:rsidR="00083361" w:rsidRPr="00CB793F" w:rsidRDefault="00083361" w:rsidP="001A136B">
      <w:pPr>
        <w:jc w:val="both"/>
        <w:rPr>
          <w:rFonts w:ascii="Arial" w:hAnsi="Arial" w:cs="Arial"/>
          <w:sz w:val="24"/>
          <w:szCs w:val="24"/>
        </w:rPr>
      </w:pPr>
    </w:p>
    <w:p w:rsidR="00083361" w:rsidRPr="00CB793F" w:rsidRDefault="00083361" w:rsidP="001A136B">
      <w:pPr>
        <w:jc w:val="both"/>
        <w:rPr>
          <w:rFonts w:ascii="Arial" w:hAnsi="Arial" w:cs="Arial"/>
          <w:sz w:val="24"/>
          <w:szCs w:val="24"/>
        </w:rPr>
      </w:pPr>
    </w:p>
    <w:sectPr w:rsidR="00083361" w:rsidRPr="00CB793F" w:rsidSect="00AC2F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D77" w:rsidRDefault="00C03D77" w:rsidP="0090406E">
      <w:r>
        <w:separator/>
      </w:r>
    </w:p>
  </w:endnote>
  <w:endnote w:type="continuationSeparator" w:id="0">
    <w:p w:rsidR="00C03D77" w:rsidRDefault="00C03D77" w:rsidP="00904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59" w:rsidRDefault="0024795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CB3" w:rsidRPr="008A318B" w:rsidRDefault="006E0CB3" w:rsidP="006E0CB3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8A318B">
        <w:rPr>
          <w:rStyle w:val="Hypertextovodkaz"/>
          <w:rFonts w:ascii="Calibri" w:hAnsi="Calibri"/>
          <w:i/>
          <w:iCs/>
          <w:sz w:val="20"/>
          <w:szCs w:val="20"/>
        </w:rPr>
        <w:t>www.inkluzivniskola.cz</w:t>
      </w:r>
    </w:hyperlink>
    <w:r w:rsidRPr="008A318B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8A318B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6E0CB3" w:rsidRPr="00B939AF" w:rsidRDefault="006E0CB3" w:rsidP="006E0CB3">
    <w:pPr>
      <w:pStyle w:val="Zpat"/>
      <w:jc w:val="both"/>
      <w:rPr>
        <w:i/>
      </w:rPr>
    </w:pPr>
    <w:r>
      <w:rPr>
        <w:noProof/>
        <w:lang w:eastAsia="cs-CZ"/>
      </w:rPr>
      <w:drawing>
        <wp:inline distT="0" distB="0" distL="0" distR="0">
          <wp:extent cx="866775" cy="438150"/>
          <wp:effectExtent l="0" t="0" r="0" b="0"/>
          <wp:docPr id="36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i/>
        <w:noProof/>
        <w:lang w:eastAsia="cs-CZ"/>
      </w:rPr>
      <w:drawing>
        <wp:inline distT="0" distB="0" distL="0" distR="0">
          <wp:extent cx="1771650" cy="304800"/>
          <wp:effectExtent l="0" t="0" r="0" b="0"/>
          <wp:docPr id="37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39AF">
      <w:rPr>
        <w:noProof/>
      </w:rPr>
      <w:t xml:space="preserve"> </w:t>
    </w:r>
    <w:r>
      <w:t xml:space="preserve">   </w:t>
    </w:r>
    <w:r>
      <w:rPr>
        <w:noProof/>
        <w:lang w:eastAsia="cs-CZ"/>
      </w:rPr>
      <w:drawing>
        <wp:inline distT="0" distB="0" distL="0" distR="0">
          <wp:extent cx="447675" cy="304800"/>
          <wp:effectExtent l="0" t="0" r="0" b="0"/>
          <wp:docPr id="38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1114425" cy="314325"/>
          <wp:effectExtent l="0" t="0" r="0" b="0"/>
          <wp:docPr id="3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>
          <wp:extent cx="704850" cy="333375"/>
          <wp:effectExtent l="0" t="0" r="0" b="0"/>
          <wp:docPr id="4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06E" w:rsidRPr="006E0CB3" w:rsidRDefault="0090406E" w:rsidP="006E0CB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59" w:rsidRDefault="0024795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D77" w:rsidRDefault="00C03D77" w:rsidP="0090406E">
      <w:r>
        <w:separator/>
      </w:r>
    </w:p>
  </w:footnote>
  <w:footnote w:type="continuationSeparator" w:id="0">
    <w:p w:rsidR="00C03D77" w:rsidRDefault="00C03D77" w:rsidP="00904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59" w:rsidRDefault="0024795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3F" w:rsidRDefault="00CB793F" w:rsidP="00CB793F">
    <w:pPr>
      <w:pStyle w:val="Zhlav"/>
      <w:tabs>
        <w:tab w:val="clear" w:pos="4536"/>
        <w:tab w:val="clear" w:pos="9072"/>
        <w:tab w:val="left" w:pos="3285"/>
      </w:tabs>
    </w:pPr>
    <w:r>
      <w:tab/>
    </w:r>
  </w:p>
  <w:p w:rsidR="00CB793F" w:rsidRDefault="00CB793F" w:rsidP="00CB793F">
    <w:pPr>
      <w:pStyle w:val="Zhlav"/>
      <w:tabs>
        <w:tab w:val="clear" w:pos="4536"/>
        <w:tab w:val="clear" w:pos="9072"/>
        <w:tab w:val="left" w:pos="3285"/>
      </w:tabs>
    </w:pPr>
  </w:p>
  <w:p w:rsidR="00CB793F" w:rsidRDefault="00CB793F" w:rsidP="00CB793F">
    <w:pPr>
      <w:pStyle w:val="Zhlav"/>
      <w:tabs>
        <w:tab w:val="clear" w:pos="4536"/>
        <w:tab w:val="clear" w:pos="9072"/>
        <w:tab w:val="left" w:pos="3285"/>
      </w:tabs>
    </w:pPr>
  </w:p>
  <w:p w:rsidR="00CB793F" w:rsidRDefault="00CB793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959" w:rsidRDefault="0024795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3368"/>
    <w:multiLevelType w:val="hybridMultilevel"/>
    <w:tmpl w:val="B70AA3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0661C2"/>
    <w:multiLevelType w:val="hybridMultilevel"/>
    <w:tmpl w:val="145A0C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D01F5"/>
    <w:multiLevelType w:val="hybridMultilevel"/>
    <w:tmpl w:val="36C48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E8D"/>
    <w:rsid w:val="000352C4"/>
    <w:rsid w:val="00083361"/>
    <w:rsid w:val="001A136B"/>
    <w:rsid w:val="00247959"/>
    <w:rsid w:val="00297323"/>
    <w:rsid w:val="002F281B"/>
    <w:rsid w:val="00417C07"/>
    <w:rsid w:val="004D5A05"/>
    <w:rsid w:val="005C2BEF"/>
    <w:rsid w:val="005F1E8D"/>
    <w:rsid w:val="006E0CB3"/>
    <w:rsid w:val="007172A4"/>
    <w:rsid w:val="007E2673"/>
    <w:rsid w:val="00832E15"/>
    <w:rsid w:val="00843EF2"/>
    <w:rsid w:val="00865A72"/>
    <w:rsid w:val="008E61D2"/>
    <w:rsid w:val="0090406E"/>
    <w:rsid w:val="00A9246A"/>
    <w:rsid w:val="00AC2F5D"/>
    <w:rsid w:val="00AE0F89"/>
    <w:rsid w:val="00B21282"/>
    <w:rsid w:val="00B6339A"/>
    <w:rsid w:val="00C03D77"/>
    <w:rsid w:val="00CB793F"/>
    <w:rsid w:val="00F93677"/>
    <w:rsid w:val="00FD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F5D"/>
  </w:style>
  <w:style w:type="paragraph" w:styleId="Nadpis3">
    <w:name w:val="heading 3"/>
    <w:basedOn w:val="Normln"/>
    <w:link w:val="Nadpis3Char"/>
    <w:uiPriority w:val="9"/>
    <w:unhideWhenUsed/>
    <w:qFormat/>
    <w:rsid w:val="0090406E"/>
    <w:pPr>
      <w:spacing w:before="100" w:beforeAutospacing="1" w:after="100" w:afterAutospacing="1"/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A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5A05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C2BEF"/>
    <w:rPr>
      <w:b/>
      <w:bCs/>
    </w:rPr>
  </w:style>
  <w:style w:type="paragraph" w:customStyle="1" w:styleId="Odstavecseseznamem1">
    <w:name w:val="Odstavec se seznamem1"/>
    <w:basedOn w:val="Normln"/>
    <w:rsid w:val="001A136B"/>
    <w:pPr>
      <w:ind w:left="720"/>
      <w:contextualSpacing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9040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406E"/>
  </w:style>
  <w:style w:type="paragraph" w:styleId="Zpat">
    <w:name w:val="footer"/>
    <w:basedOn w:val="Normln"/>
    <w:link w:val="ZpatChar"/>
    <w:uiPriority w:val="99"/>
    <w:unhideWhenUsed/>
    <w:rsid w:val="009040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406E"/>
  </w:style>
  <w:style w:type="paragraph" w:styleId="Textbubliny">
    <w:name w:val="Balloon Text"/>
    <w:basedOn w:val="Normln"/>
    <w:link w:val="TextbublinyChar"/>
    <w:uiPriority w:val="99"/>
    <w:semiHidden/>
    <w:unhideWhenUsed/>
    <w:rsid w:val="009040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06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90406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cr.cz/index.php?page=notar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kcr.cz/index.php?page=notari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datalot.justice.cz/justice/repznatl.nsf/$$Search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talot.justice.cz/justice/repznatl.nsf/$$SearchFor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Tereza</cp:lastModifiedBy>
  <cp:revision>5</cp:revision>
  <dcterms:created xsi:type="dcterms:W3CDTF">2013-12-17T15:32:00Z</dcterms:created>
  <dcterms:modified xsi:type="dcterms:W3CDTF">2014-07-27T22:18:00Z</dcterms:modified>
</cp:coreProperties>
</file>